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bin" ContentType="application/vnd.openxmlformats-officedocument.oleObject"/>
  <Override PartName="/customXml/itemProps1.xml" ContentType="application/vnd.openxmlformats-officedocument.customXmlProperties+xml"/>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docProps/custom.xml" ContentType="application/vnd.openxmlformats-officedocument.custom-properties+xml"/>
  <Override PartName="/word/footer1.xml" ContentType="application/vnd.openxmlformats-officedocument.wordprocessingml.footer+xml"/>
  <Override PartName="/word/theme/theme1.xml" ContentType="application/vnd.openxmlformats-officedocument.theme+xml"/>
  <Default Extension="xlsx" ContentType="application/vnd.openxmlformats-officedocument.spreadsheetml.sheet"/>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70A1E" w:rsidRPr="00070A1E" w:rsidRDefault="00070A1E" w:rsidP="00070A1E">
      <w:pPr>
        <w:pStyle w:val="Cmlaplog"/>
      </w:pPr>
      <w:r w:rsidRPr="00070A1E">
        <w:rPr>
          <w:noProof/>
          <w:lang w:eastAsia="hu-HU"/>
        </w:rPr>
        <w:drawing>
          <wp:inline distT="0" distB="0" distL="0" distR="0">
            <wp:extent cx="1931035" cy="541020"/>
            <wp:effectExtent l="0" t="0" r="0" b="0"/>
            <wp:docPr id="6" name="Kép 6" descr="muegyete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uegyetem"/>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931035" cy="541020"/>
                    </a:xfrm>
                    <a:prstGeom prst="rect">
                      <a:avLst/>
                    </a:prstGeom>
                    <a:noFill/>
                    <a:ln>
                      <a:noFill/>
                    </a:ln>
                  </pic:spPr>
                </pic:pic>
              </a:graphicData>
            </a:graphic>
          </wp:inline>
        </w:drawing>
      </w:r>
    </w:p>
    <w:p w:rsidR="00070A1E" w:rsidRPr="00070A1E" w:rsidRDefault="00070A1E" w:rsidP="00070A1E">
      <w:pPr>
        <w:pStyle w:val="Cmlapegyetem"/>
        <w:spacing w:line="360" w:lineRule="auto"/>
      </w:pPr>
      <w:r w:rsidRPr="00070A1E">
        <w:t>Budapesti Műszaki és Gazdaságtudományi Egyetem</w:t>
      </w:r>
    </w:p>
    <w:p w:rsidR="00070A1E" w:rsidRPr="00070A1E" w:rsidRDefault="00070A1E" w:rsidP="00070A1E">
      <w:pPr>
        <w:pStyle w:val="Cmlapkarstanszk"/>
        <w:spacing w:line="360" w:lineRule="auto"/>
      </w:pPr>
      <w:r w:rsidRPr="00070A1E">
        <w:t xml:space="preserve">Vegyészmérnöki és </w:t>
      </w:r>
      <w:proofErr w:type="spellStart"/>
      <w:r w:rsidRPr="00070A1E">
        <w:t>Biomérnöki</w:t>
      </w:r>
      <w:proofErr w:type="spellEnd"/>
      <w:r w:rsidRPr="00070A1E">
        <w:t xml:space="preserve"> Kar</w:t>
      </w:r>
    </w:p>
    <w:p w:rsidR="00070A1E" w:rsidRPr="00070A1E" w:rsidRDefault="001E0539" w:rsidP="00070A1E">
      <w:pPr>
        <w:pStyle w:val="Cmlapkarstanszk"/>
        <w:spacing w:line="360" w:lineRule="auto"/>
      </w:pPr>
      <w:fldSimple w:instr=" DOCPROPERTY  Company  \* MERGEFORMAT ">
        <w:r w:rsidR="00070A1E" w:rsidRPr="00070A1E">
          <w:t>Fizikai Kémiai és Anyagtudományi Tanszék</w:t>
        </w:r>
      </w:fldSimple>
    </w:p>
    <w:p w:rsidR="00070A1E" w:rsidRPr="00070A1E" w:rsidRDefault="00070A1E" w:rsidP="00070A1E">
      <w:pPr>
        <w:spacing w:line="360" w:lineRule="auto"/>
        <w:rPr>
          <w:rFonts w:ascii="Times New Roman" w:hAnsi="Times New Roman" w:cs="Times New Roman"/>
        </w:rPr>
      </w:pPr>
    </w:p>
    <w:p w:rsidR="00070A1E" w:rsidRPr="00070A1E" w:rsidRDefault="00070A1E" w:rsidP="00070A1E">
      <w:pPr>
        <w:spacing w:line="360" w:lineRule="auto"/>
        <w:rPr>
          <w:rFonts w:ascii="Times New Roman" w:hAnsi="Times New Roman" w:cs="Times New Roman"/>
        </w:rPr>
      </w:pPr>
    </w:p>
    <w:p w:rsidR="00070A1E" w:rsidRPr="00070A1E" w:rsidRDefault="00070A1E" w:rsidP="00070A1E">
      <w:pPr>
        <w:spacing w:line="360" w:lineRule="auto"/>
        <w:rPr>
          <w:rFonts w:ascii="Times New Roman" w:hAnsi="Times New Roman" w:cs="Times New Roman"/>
        </w:rPr>
      </w:pPr>
    </w:p>
    <w:p w:rsidR="00070A1E" w:rsidRPr="00070A1E" w:rsidRDefault="00070A1E" w:rsidP="00070A1E">
      <w:pPr>
        <w:keepLines/>
        <w:spacing w:after="0" w:line="360" w:lineRule="auto"/>
        <w:jc w:val="center"/>
        <w:rPr>
          <w:rFonts w:ascii="Times New Roman" w:hAnsi="Times New Roman" w:cs="Times New Roman"/>
          <w:smallCaps/>
          <w:sz w:val="18"/>
        </w:rPr>
      </w:pPr>
      <w:r w:rsidRPr="00070A1E">
        <w:rPr>
          <w:rFonts w:ascii="Times New Roman" w:eastAsia="Times New Roman" w:hAnsi="Times New Roman" w:cs="Times New Roman"/>
          <w:b/>
          <w:bCs/>
          <w:caps/>
          <w:kern w:val="28"/>
          <w:sz w:val="44"/>
          <w:szCs w:val="32"/>
        </w:rPr>
        <w:t>A Talaj, mint pórusos rendszer</w:t>
      </w:r>
    </w:p>
    <w:p w:rsidR="00070A1E" w:rsidRPr="00070A1E" w:rsidRDefault="00070A1E" w:rsidP="00070A1E">
      <w:pPr>
        <w:keepLines/>
        <w:spacing w:after="0" w:line="360" w:lineRule="auto"/>
        <w:jc w:val="center"/>
        <w:rPr>
          <w:rFonts w:ascii="Times New Roman" w:hAnsi="Times New Roman" w:cs="Times New Roman"/>
          <w:smallCaps/>
        </w:rPr>
      </w:pPr>
    </w:p>
    <w:p w:rsidR="00070A1E" w:rsidRPr="00070A1E" w:rsidRDefault="00070A1E" w:rsidP="00070A1E">
      <w:pPr>
        <w:keepLines/>
        <w:spacing w:after="0" w:line="360" w:lineRule="auto"/>
        <w:rPr>
          <w:rFonts w:ascii="Times New Roman" w:hAnsi="Times New Roman" w:cs="Times New Roman"/>
          <w:smallCaps/>
        </w:rPr>
      </w:pPr>
    </w:p>
    <w:p w:rsidR="00070A1E" w:rsidRPr="00070A1E" w:rsidRDefault="00070A1E" w:rsidP="00070A1E">
      <w:pPr>
        <w:pStyle w:val="Cmlapszerz"/>
        <w:spacing w:line="360" w:lineRule="auto"/>
      </w:pPr>
      <w:r>
        <w:t xml:space="preserve">Készítette: </w:t>
      </w:r>
      <w:r w:rsidRPr="00070A1E">
        <w:t>Vancza Andor</w:t>
      </w:r>
    </w:p>
    <w:p w:rsidR="00070A1E" w:rsidRPr="00070A1E" w:rsidRDefault="00070A1E" w:rsidP="00070A1E">
      <w:pPr>
        <w:keepLines/>
        <w:spacing w:after="0" w:line="360" w:lineRule="auto"/>
        <w:jc w:val="center"/>
        <w:rPr>
          <w:rFonts w:ascii="Times New Roman" w:hAnsi="Times New Roman" w:cs="Times New Roman"/>
          <w:smallCaps/>
        </w:rPr>
      </w:pPr>
    </w:p>
    <w:p w:rsidR="00070A1E" w:rsidRPr="00070A1E" w:rsidRDefault="00070A1E" w:rsidP="00070A1E">
      <w:pPr>
        <w:keepLines/>
        <w:spacing w:after="0" w:line="360" w:lineRule="auto"/>
        <w:jc w:val="center"/>
        <w:rPr>
          <w:rFonts w:ascii="Times New Roman" w:hAnsi="Times New Roman" w:cs="Times New Roman"/>
          <w:smallCaps/>
        </w:rPr>
      </w:pPr>
    </w:p>
    <w:p w:rsidR="00070A1E" w:rsidRPr="00070A1E" w:rsidRDefault="00070A1E" w:rsidP="00070A1E">
      <w:pPr>
        <w:keepLines/>
        <w:spacing w:after="0" w:line="360" w:lineRule="auto"/>
        <w:jc w:val="center"/>
        <w:rPr>
          <w:rFonts w:ascii="Times New Roman" w:hAnsi="Times New Roman" w:cs="Times New Roman"/>
          <w:smallCaps/>
        </w:rPr>
      </w:pPr>
    </w:p>
    <w:p w:rsidR="00070A1E" w:rsidRPr="00070A1E" w:rsidRDefault="00070A1E" w:rsidP="00070A1E">
      <w:pPr>
        <w:keepLines/>
        <w:spacing w:after="0" w:line="360" w:lineRule="auto"/>
        <w:jc w:val="center"/>
        <w:rPr>
          <w:rFonts w:ascii="Times New Roman" w:hAnsi="Times New Roman" w:cs="Times New Roman"/>
          <w:smallCaps/>
        </w:rPr>
      </w:pPr>
    </w:p>
    <w:p w:rsidR="00070A1E" w:rsidRPr="00070A1E" w:rsidRDefault="00070A1E" w:rsidP="00070A1E">
      <w:pPr>
        <w:keepLines/>
        <w:spacing w:after="0" w:line="360" w:lineRule="auto"/>
        <w:jc w:val="center"/>
        <w:rPr>
          <w:rFonts w:ascii="Times New Roman" w:hAnsi="Times New Roman" w:cs="Times New Roman"/>
          <w:smallCaps/>
        </w:rPr>
      </w:pPr>
    </w:p>
    <w:p w:rsidR="00070A1E" w:rsidRPr="00070A1E" w:rsidRDefault="00070A1E" w:rsidP="00070A1E">
      <w:pPr>
        <w:keepLines/>
        <w:spacing w:after="0" w:line="360" w:lineRule="auto"/>
        <w:jc w:val="center"/>
        <w:rPr>
          <w:rFonts w:ascii="Times New Roman" w:hAnsi="Times New Roman" w:cs="Times New Roman"/>
          <w:smallCaps/>
        </w:rPr>
      </w:pPr>
    </w:p>
    <w:p w:rsidR="00070A1E" w:rsidRPr="00070A1E" w:rsidRDefault="00070A1E" w:rsidP="00070A1E">
      <w:pPr>
        <w:keepLines/>
        <w:spacing w:after="0" w:line="360" w:lineRule="auto"/>
        <w:ind w:left="2694"/>
        <w:rPr>
          <w:rFonts w:ascii="Times New Roman" w:hAnsi="Times New Roman" w:cs="Times New Roman"/>
          <w:smallCaps/>
        </w:rPr>
      </w:pPr>
    </w:p>
    <w:p w:rsidR="00070A1E" w:rsidRDefault="00070A1E" w:rsidP="00070A1E">
      <w:pPr>
        <w:pStyle w:val="Cmlapszerz"/>
        <w:tabs>
          <w:tab w:val="center" w:pos="4536"/>
          <w:tab w:val="left" w:pos="7035"/>
        </w:tabs>
        <w:spacing w:line="360" w:lineRule="auto"/>
        <w:jc w:val="left"/>
      </w:pPr>
    </w:p>
    <w:p w:rsidR="00070A1E" w:rsidRDefault="00070A1E" w:rsidP="00070A1E">
      <w:pPr>
        <w:pStyle w:val="Cmlapszerz"/>
        <w:tabs>
          <w:tab w:val="center" w:pos="4536"/>
          <w:tab w:val="left" w:pos="7035"/>
        </w:tabs>
        <w:spacing w:line="360" w:lineRule="auto"/>
        <w:jc w:val="left"/>
      </w:pPr>
    </w:p>
    <w:p w:rsidR="00070A1E" w:rsidRDefault="00070A1E" w:rsidP="00070A1E">
      <w:pPr>
        <w:pStyle w:val="Cmlapszerz"/>
        <w:tabs>
          <w:tab w:val="center" w:pos="4536"/>
          <w:tab w:val="left" w:pos="7035"/>
        </w:tabs>
        <w:spacing w:line="360" w:lineRule="auto"/>
        <w:jc w:val="left"/>
      </w:pPr>
    </w:p>
    <w:p w:rsidR="00070A1E" w:rsidRPr="00070A1E" w:rsidRDefault="00070A1E" w:rsidP="00070A1E">
      <w:pPr>
        <w:pStyle w:val="Cmlapszerz"/>
        <w:tabs>
          <w:tab w:val="center" w:pos="4536"/>
          <w:tab w:val="left" w:pos="7035"/>
        </w:tabs>
        <w:spacing w:line="360" w:lineRule="auto"/>
        <w:jc w:val="left"/>
      </w:pPr>
    </w:p>
    <w:p w:rsidR="00070A1E" w:rsidRPr="00070A1E" w:rsidRDefault="00070A1E" w:rsidP="00070A1E">
      <w:pPr>
        <w:tabs>
          <w:tab w:val="center" w:pos="4536"/>
        </w:tabs>
        <w:spacing w:after="0" w:line="360" w:lineRule="auto"/>
        <w:rPr>
          <w:rFonts w:ascii="Times New Roman" w:hAnsi="Times New Roman" w:cs="Times New Roman"/>
          <w:sz w:val="24"/>
          <w:szCs w:val="24"/>
        </w:rPr>
      </w:pPr>
      <w:r w:rsidRPr="00070A1E">
        <w:rPr>
          <w:rFonts w:ascii="Times New Roman" w:hAnsi="Times New Roman" w:cs="Times New Roman"/>
          <w:sz w:val="24"/>
          <w:szCs w:val="24"/>
        </w:rPr>
        <w:tab/>
      </w:r>
      <w:r>
        <w:rPr>
          <w:rFonts w:ascii="Times New Roman" w:hAnsi="Times New Roman" w:cs="Times New Roman"/>
          <w:sz w:val="24"/>
          <w:szCs w:val="24"/>
        </w:rPr>
        <w:t>BUDAPEST, 2019</w:t>
      </w:r>
    </w:p>
    <w:p w:rsidR="00677810" w:rsidRDefault="00677810" w:rsidP="00FA2214">
      <w:pPr>
        <w:rPr>
          <w:rFonts w:ascii="Times New Roman" w:hAnsi="Times New Roman" w:cs="Times New Roman"/>
          <w:b/>
          <w:sz w:val="28"/>
        </w:rPr>
        <w:sectPr w:rsidR="00677810" w:rsidSect="00677810">
          <w:footerReference w:type="default" r:id="rId9"/>
          <w:footerReference w:type="first" r:id="rId10"/>
          <w:pgSz w:w="11906" w:h="16838"/>
          <w:pgMar w:top="1417" w:right="1417" w:bottom="1417" w:left="1417" w:header="708" w:footer="708" w:gutter="0"/>
          <w:pgNumType w:start="1"/>
          <w:cols w:space="708"/>
          <w:titlePg/>
          <w:docGrid w:linePitch="360"/>
        </w:sectPr>
      </w:pPr>
    </w:p>
    <w:p w:rsidR="00070A1E" w:rsidRPr="00070A1E" w:rsidRDefault="00070A1E" w:rsidP="00FA2214">
      <w:pPr>
        <w:rPr>
          <w:rFonts w:ascii="Times New Roman" w:hAnsi="Times New Roman" w:cs="Times New Roman"/>
          <w:b/>
          <w:sz w:val="28"/>
        </w:rPr>
      </w:pPr>
    </w:p>
    <w:p w:rsidR="00F701B1" w:rsidRPr="00070A1E" w:rsidRDefault="00F701B1" w:rsidP="002E575E">
      <w:pPr>
        <w:pStyle w:val="Listaszerbekezds"/>
        <w:numPr>
          <w:ilvl w:val="0"/>
          <w:numId w:val="4"/>
        </w:numPr>
        <w:jc w:val="center"/>
        <w:rPr>
          <w:rFonts w:ascii="Times New Roman" w:hAnsi="Times New Roman" w:cs="Times New Roman"/>
          <w:b/>
          <w:sz w:val="28"/>
        </w:rPr>
      </w:pPr>
      <w:r w:rsidRPr="00070A1E">
        <w:rPr>
          <w:rFonts w:ascii="Times New Roman" w:hAnsi="Times New Roman" w:cs="Times New Roman"/>
          <w:b/>
          <w:sz w:val="28"/>
        </w:rPr>
        <w:t>Bevezetés: A talaj összetétele</w:t>
      </w:r>
    </w:p>
    <w:p w:rsidR="00F701B1" w:rsidRPr="00070A1E" w:rsidRDefault="0013764B" w:rsidP="00D7577E">
      <w:pPr>
        <w:ind w:firstLine="708"/>
        <w:jc w:val="both"/>
        <w:rPr>
          <w:rFonts w:ascii="Times New Roman" w:hAnsi="Times New Roman" w:cs="Times New Roman"/>
          <w:sz w:val="24"/>
        </w:rPr>
      </w:pPr>
      <w:r w:rsidRPr="00070A1E">
        <w:rPr>
          <w:rFonts w:ascii="Times New Roman" w:hAnsi="Times New Roman" w:cs="Times New Roman"/>
          <w:sz w:val="24"/>
        </w:rPr>
        <w:t>A talaj a földkéreg legfelső rétege, ami összetételében és tulajdonságaiban a föld egyes pontjain nagymértékben eltérő lehet. Azonban bárhonnan is származzon egy talajminta, annak összetevő nagyvonalakban megegyeznek.</w:t>
      </w:r>
      <w:r w:rsidR="00CF149F" w:rsidRPr="00070A1E">
        <w:rPr>
          <w:rFonts w:ascii="Times New Roman" w:hAnsi="Times New Roman" w:cs="Times New Roman"/>
          <w:sz w:val="24"/>
        </w:rPr>
        <w:t xml:space="preserve"> Legnagyobb arányban szervetlen ásványok találhatóak benne (kb. 45 %), illetve </w:t>
      </w:r>
      <w:r w:rsidR="00D7577E" w:rsidRPr="00070A1E">
        <w:rPr>
          <w:rFonts w:ascii="Times New Roman" w:hAnsi="Times New Roman" w:cs="Times New Roman"/>
          <w:sz w:val="24"/>
        </w:rPr>
        <w:t>víz és levegő (mindkettő kb. 20-30%). A fennmaradó részt szerves anyagok adják, melyeknek nagy része növények és állatok maradványai</w:t>
      </w:r>
      <w:r w:rsidR="00841121">
        <w:rPr>
          <w:rFonts w:ascii="Times New Roman" w:hAnsi="Times New Roman" w:cs="Times New Roman"/>
          <w:sz w:val="24"/>
        </w:rPr>
        <w:t xml:space="preserve">ból </w:t>
      </w:r>
      <w:proofErr w:type="spellStart"/>
      <w:r w:rsidR="00841121">
        <w:rPr>
          <w:rFonts w:ascii="Times New Roman" w:hAnsi="Times New Roman" w:cs="Times New Roman"/>
          <w:sz w:val="24"/>
        </w:rPr>
        <w:t>számrazik</w:t>
      </w:r>
      <w:proofErr w:type="spellEnd"/>
      <w:r w:rsidR="00D7577E" w:rsidRPr="00070A1E">
        <w:rPr>
          <w:rFonts w:ascii="Times New Roman" w:hAnsi="Times New Roman" w:cs="Times New Roman"/>
          <w:sz w:val="24"/>
        </w:rPr>
        <w:t xml:space="preserve"> (pl. humusz, kb. 80%), és csak kisebb része a még élő növények és állatok.</w:t>
      </w:r>
    </w:p>
    <w:p w:rsidR="00AE6B75" w:rsidRPr="00070A1E" w:rsidRDefault="0013764B" w:rsidP="00D7577E">
      <w:pPr>
        <w:keepNext/>
        <w:jc w:val="center"/>
        <w:rPr>
          <w:rFonts w:ascii="Times New Roman" w:hAnsi="Times New Roman" w:cs="Times New Roman"/>
        </w:rPr>
      </w:pPr>
      <w:r w:rsidRPr="00070A1E">
        <w:rPr>
          <w:rFonts w:ascii="Times New Roman" w:hAnsi="Times New Roman" w:cs="Times New Roman"/>
          <w:noProof/>
          <w:lang w:eastAsia="hu-HU"/>
        </w:rPr>
        <w:drawing>
          <wp:inline distT="0" distB="0" distL="0" distR="0">
            <wp:extent cx="5486400" cy="3200400"/>
            <wp:effectExtent l="19050" t="0" r="19050" b="0"/>
            <wp:docPr id="1" name="Diagram 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
              </a:graphicData>
            </a:graphic>
          </wp:inline>
        </w:drawing>
      </w:r>
    </w:p>
    <w:p w:rsidR="0067287D" w:rsidRPr="00677810" w:rsidRDefault="001E0539" w:rsidP="00677810">
      <w:pPr>
        <w:pStyle w:val="Kpalrs"/>
        <w:jc w:val="center"/>
        <w:rPr>
          <w:rFonts w:ascii="Times New Roman" w:hAnsi="Times New Roman" w:cs="Times New Roman"/>
          <w:color w:val="auto"/>
          <w:sz w:val="22"/>
        </w:rPr>
      </w:pPr>
      <w:r w:rsidRPr="00677810">
        <w:rPr>
          <w:rFonts w:ascii="Times New Roman" w:hAnsi="Times New Roman" w:cs="Times New Roman"/>
          <w:color w:val="auto"/>
          <w:sz w:val="22"/>
        </w:rPr>
        <w:fldChar w:fldCharType="begin"/>
      </w:r>
      <w:r w:rsidR="00AE6B75" w:rsidRPr="00677810">
        <w:rPr>
          <w:rFonts w:ascii="Times New Roman" w:hAnsi="Times New Roman" w:cs="Times New Roman"/>
          <w:color w:val="auto"/>
          <w:sz w:val="22"/>
        </w:rPr>
        <w:instrText xml:space="preserve"> SEQ ábra \* ARABIC </w:instrText>
      </w:r>
      <w:r w:rsidRPr="00677810">
        <w:rPr>
          <w:rFonts w:ascii="Times New Roman" w:hAnsi="Times New Roman" w:cs="Times New Roman"/>
          <w:color w:val="auto"/>
          <w:sz w:val="22"/>
        </w:rPr>
        <w:fldChar w:fldCharType="separate"/>
      </w:r>
      <w:r w:rsidR="00995CD7" w:rsidRPr="00677810">
        <w:rPr>
          <w:rFonts w:ascii="Times New Roman" w:hAnsi="Times New Roman" w:cs="Times New Roman"/>
          <w:noProof/>
          <w:color w:val="auto"/>
          <w:sz w:val="22"/>
        </w:rPr>
        <w:t>1</w:t>
      </w:r>
      <w:r w:rsidRPr="00677810">
        <w:rPr>
          <w:rFonts w:ascii="Times New Roman" w:hAnsi="Times New Roman" w:cs="Times New Roman"/>
          <w:color w:val="auto"/>
          <w:sz w:val="22"/>
        </w:rPr>
        <w:fldChar w:fldCharType="end"/>
      </w:r>
      <w:r w:rsidR="00AE6B75" w:rsidRPr="00677810">
        <w:rPr>
          <w:rFonts w:ascii="Times New Roman" w:hAnsi="Times New Roman" w:cs="Times New Roman"/>
          <w:color w:val="auto"/>
          <w:sz w:val="22"/>
        </w:rPr>
        <w:t xml:space="preserve">. </w:t>
      </w:r>
      <w:proofErr w:type="gramStart"/>
      <w:r w:rsidR="00AE6B75" w:rsidRPr="00677810">
        <w:rPr>
          <w:rFonts w:ascii="Times New Roman" w:hAnsi="Times New Roman" w:cs="Times New Roman"/>
          <w:color w:val="auto"/>
          <w:sz w:val="22"/>
        </w:rPr>
        <w:t>ábra: A talaj általános összetétele</w:t>
      </w:r>
      <w:proofErr w:type="gramEnd"/>
      <w:r w:rsidR="0067287D" w:rsidRPr="00677810">
        <w:rPr>
          <w:rFonts w:ascii="Times New Roman" w:hAnsi="Times New Roman" w:cs="Times New Roman"/>
          <w:color w:val="auto"/>
          <w:sz w:val="22"/>
        </w:rPr>
        <w:t xml:space="preserve"> </w:t>
      </w:r>
      <w:r w:rsidRPr="00677810">
        <w:rPr>
          <w:rStyle w:val="Lbjegyzet-hivatkozs"/>
          <w:rFonts w:ascii="Times New Roman" w:hAnsi="Times New Roman" w:cs="Times New Roman"/>
          <w:color w:val="auto"/>
          <w:sz w:val="22"/>
        </w:rPr>
        <w:fldChar w:fldCharType="begin" w:fldLock="1"/>
      </w:r>
      <w:r w:rsidR="0078551E" w:rsidRPr="00677810">
        <w:rPr>
          <w:rFonts w:ascii="Times New Roman" w:hAnsi="Times New Roman" w:cs="Times New Roman"/>
          <w:b w:val="0"/>
          <w:color w:val="auto"/>
          <w:sz w:val="22"/>
        </w:rPr>
        <w:instrText>ADDIN CSL_CITATION {"citationItems":[{"id":"ITEM-1","itemData":{"URL":"https://passel.unl.edu/pages/informationmodule.php?idinformationmodule=1130447039&amp;topicorder=1&amp;maxto=10&amp;minto=1","accessed":{"date-parts":[["2019","10","19"]]},"id":"ITEM-1","issued":{"date-parts":[["1999"]]},"title":"Soils Home Study Course","type":"webpage"},"uris":["http://www.mendeley.com/documents/?uuid=c3ce649d-e0b6-4d82-aaba-e039509cc7b2"]}],"mendeley":{"formattedCitation":"[1]","plainTextFormattedCitation":"[1]","previouslyFormattedCitation":"[1]"},"properties":{"noteIndex":0},"schema":"https://github.com/citation-style-language/schema/raw/master/csl-citation.json"}</w:instrText>
      </w:r>
      <w:r w:rsidRPr="00677810">
        <w:rPr>
          <w:rStyle w:val="Lbjegyzet-hivatkozs"/>
          <w:rFonts w:ascii="Times New Roman" w:hAnsi="Times New Roman" w:cs="Times New Roman"/>
          <w:color w:val="auto"/>
          <w:sz w:val="22"/>
        </w:rPr>
        <w:fldChar w:fldCharType="separate"/>
      </w:r>
      <w:r w:rsidR="0067287D" w:rsidRPr="00677810">
        <w:rPr>
          <w:rFonts w:ascii="Times New Roman" w:hAnsi="Times New Roman" w:cs="Times New Roman"/>
          <w:b w:val="0"/>
          <w:noProof/>
          <w:color w:val="auto"/>
          <w:sz w:val="22"/>
        </w:rPr>
        <w:t>[1]</w:t>
      </w:r>
      <w:r w:rsidRPr="00677810">
        <w:rPr>
          <w:rStyle w:val="Lbjegyzet-hivatkozs"/>
          <w:rFonts w:ascii="Times New Roman" w:hAnsi="Times New Roman" w:cs="Times New Roman"/>
          <w:color w:val="auto"/>
          <w:sz w:val="22"/>
        </w:rPr>
        <w:fldChar w:fldCharType="end"/>
      </w:r>
    </w:p>
    <w:p w:rsidR="0078551E" w:rsidRPr="00070A1E" w:rsidRDefault="0067287D" w:rsidP="0078551E">
      <w:pPr>
        <w:ind w:firstLine="360"/>
        <w:jc w:val="both"/>
        <w:rPr>
          <w:rFonts w:ascii="Times New Roman" w:hAnsi="Times New Roman" w:cs="Times New Roman"/>
          <w:sz w:val="24"/>
        </w:rPr>
      </w:pPr>
      <w:r w:rsidRPr="00070A1E">
        <w:rPr>
          <w:rFonts w:ascii="Times New Roman" w:hAnsi="Times New Roman" w:cs="Times New Roman"/>
          <w:sz w:val="24"/>
        </w:rPr>
        <w:t xml:space="preserve">A talaj szilárd része a fentieken túl több részre bontható. </w:t>
      </w:r>
      <w:proofErr w:type="gramStart"/>
      <w:r w:rsidRPr="00070A1E">
        <w:rPr>
          <w:rFonts w:ascii="Times New Roman" w:hAnsi="Times New Roman" w:cs="Times New Roman"/>
          <w:sz w:val="24"/>
        </w:rPr>
        <w:t>Az agyagos részt (angolul „</w:t>
      </w:r>
      <w:proofErr w:type="spellStart"/>
      <w:r w:rsidRPr="00070A1E">
        <w:rPr>
          <w:rFonts w:ascii="Times New Roman" w:hAnsi="Times New Roman" w:cs="Times New Roman"/>
          <w:sz w:val="24"/>
        </w:rPr>
        <w:t>clay</w:t>
      </w:r>
      <w:proofErr w:type="spellEnd"/>
      <w:r w:rsidRPr="00070A1E">
        <w:rPr>
          <w:rFonts w:ascii="Times New Roman" w:hAnsi="Times New Roman" w:cs="Times New Roman"/>
          <w:sz w:val="24"/>
        </w:rPr>
        <w:t xml:space="preserve"> </w:t>
      </w:r>
      <w:proofErr w:type="spellStart"/>
      <w:r w:rsidRPr="00070A1E">
        <w:rPr>
          <w:rFonts w:ascii="Times New Roman" w:hAnsi="Times New Roman" w:cs="Times New Roman"/>
          <w:sz w:val="24"/>
        </w:rPr>
        <w:t>materials</w:t>
      </w:r>
      <w:proofErr w:type="spellEnd"/>
      <w:r w:rsidRPr="00070A1E">
        <w:rPr>
          <w:rFonts w:ascii="Times New Roman" w:hAnsi="Times New Roman" w:cs="Times New Roman"/>
          <w:sz w:val="24"/>
        </w:rPr>
        <w:t>”) azok a szemcsék alkotják, melyek</w:t>
      </w:r>
      <w:r w:rsidR="00CD7021" w:rsidRPr="00070A1E">
        <w:rPr>
          <w:rFonts w:ascii="Times New Roman" w:hAnsi="Times New Roman" w:cs="Times New Roman"/>
          <w:sz w:val="24"/>
        </w:rPr>
        <w:t xml:space="preserve"> átmérője </w:t>
      </w:r>
      <w:r w:rsidRPr="00070A1E">
        <w:rPr>
          <w:rFonts w:ascii="Times New Roman" w:hAnsi="Times New Roman" w:cs="Times New Roman"/>
          <w:sz w:val="24"/>
        </w:rPr>
        <w:t xml:space="preserve"> 2 </w:t>
      </w:r>
      <w:proofErr w:type="spellStart"/>
      <w:r w:rsidRPr="00070A1E">
        <w:rPr>
          <w:rFonts w:ascii="Times New Roman" w:hAnsi="Times New Roman" w:cs="Times New Roman"/>
          <w:sz w:val="24"/>
        </w:rPr>
        <w:t>µ</w:t>
      </w:r>
      <w:r w:rsidR="00CD7021" w:rsidRPr="00070A1E">
        <w:rPr>
          <w:rFonts w:ascii="Times New Roman" w:hAnsi="Times New Roman" w:cs="Times New Roman"/>
          <w:sz w:val="24"/>
        </w:rPr>
        <w:t>m-nél</w:t>
      </w:r>
      <w:proofErr w:type="spellEnd"/>
      <w:r w:rsidR="00CD7021" w:rsidRPr="00070A1E">
        <w:rPr>
          <w:rFonts w:ascii="Times New Roman" w:hAnsi="Times New Roman" w:cs="Times New Roman"/>
          <w:sz w:val="24"/>
        </w:rPr>
        <w:t xml:space="preserve"> kisebb</w:t>
      </w:r>
      <w:r w:rsidRPr="00070A1E">
        <w:rPr>
          <w:rFonts w:ascii="Times New Roman" w:hAnsi="Times New Roman" w:cs="Times New Roman"/>
          <w:sz w:val="24"/>
        </w:rPr>
        <w:t>.</w:t>
      </w:r>
      <w:proofErr w:type="gramEnd"/>
      <w:r w:rsidR="001E0539" w:rsidRPr="00070A1E">
        <w:rPr>
          <w:rStyle w:val="Lbjegyzet-hivatkozs"/>
          <w:rFonts w:ascii="Times New Roman" w:hAnsi="Times New Roman" w:cs="Times New Roman"/>
          <w:sz w:val="24"/>
        </w:rPr>
        <w:fldChar w:fldCharType="begin" w:fldLock="1"/>
      </w:r>
      <w:r w:rsidR="00816854">
        <w:rPr>
          <w:rFonts w:ascii="Times New Roman" w:hAnsi="Times New Roman" w:cs="Times New Roman"/>
          <w:sz w:val="24"/>
        </w:rPr>
        <w:instrText>ADDIN CSL_CITATION {"citationItems":[{"id":"ITEM-1","itemData":{"DOI":"10.1007/978-3-642-61147-6","ISBN":"978-3-642-64716-1","abstract":"The soil is the medium through which pollutants originating from human activities, both in agriculture and industry, move from the land surfaces to groundwater. Polluting substances are subject to complex physical, chemical and biological transformations during their movement through the soil. Their displacement depends on the transport properties of the water-air-soil system and on the molecular properties of the pollutants. Prediction of soil pollution and restoration of polluted soils requires an under­ standing of the processes controlling the fate of pollutants in the soil medium and of the dynamics of the contaminants in the un­ saturated zone. Our book was conceived· as a basic overview of the processes governing the behavior of pollutants as affected by soil constituents and environmental factors. It was written for the use of specialists working on soil and unsaturated zone pollution and restoration, as well as for graduate students starting research in this field. Since many specialists working on soil restoration lack a back­ ground in soil science or a knowledge of the properties of soil pollutants, we have included this information which forms the first part of the book. In the second part, we discuss the partitioning of pollutants between the aqueous, solid and gaseous phase of the soil medium. The retention, transformation and transport of pollutants in the soils form the third section.","author":[{"dropping-particle":"","family":"Yaron","given":"Bruno","non-dropping-particle":"","parse-names":false,"suffix":""},{"dropping-particle":"","family":"Calvet","given":"Raoul","non-dropping-particle":"","parse-names":false,"suffix":""},{"dropping-particle":"","family":"Prost","given":"René","non-dropping-particle":"","parse-names":false,"suffix":""}],"id":"ITEM-1","issued":{"date-parts":[["1996"]]},"number-of-pages":"313","publisher":"Springer Berlin Heidelberg","publisher-place":"Berlin, Heidelberg","title":"Soil Pollution","type":"book"},"uris":["http://www.mendeley.com/documents/?uuid=eb0d64f1-53c3-4d43-87d1-29f6c813ee56"]}],"mendeley":{"formattedCitation":"[2]","plainTextFormattedCitation":"[2]","previouslyFormattedCitation":"[2, p. 5]"},"properties":{"noteIndex":0},"schema":"https://github.com/citation-style-language/schema/raw/master/csl-citation.json"}</w:instrText>
      </w:r>
      <w:r w:rsidR="001E0539" w:rsidRPr="00070A1E">
        <w:rPr>
          <w:rStyle w:val="Lbjegyzet-hivatkozs"/>
          <w:rFonts w:ascii="Times New Roman" w:hAnsi="Times New Roman" w:cs="Times New Roman"/>
          <w:sz w:val="24"/>
        </w:rPr>
        <w:fldChar w:fldCharType="separate"/>
      </w:r>
      <w:r w:rsidR="00816854" w:rsidRPr="00816854">
        <w:rPr>
          <w:rFonts w:ascii="Times New Roman" w:hAnsi="Times New Roman" w:cs="Times New Roman"/>
          <w:noProof/>
          <w:sz w:val="24"/>
        </w:rPr>
        <w:t>[2]</w:t>
      </w:r>
      <w:r w:rsidR="001E0539" w:rsidRPr="00070A1E">
        <w:rPr>
          <w:rStyle w:val="Lbjegyzet-hivatkozs"/>
          <w:rFonts w:ascii="Times New Roman" w:hAnsi="Times New Roman" w:cs="Times New Roman"/>
          <w:sz w:val="24"/>
        </w:rPr>
        <w:fldChar w:fldCharType="end"/>
      </w:r>
      <w:r w:rsidR="00094042" w:rsidRPr="00070A1E">
        <w:rPr>
          <w:rFonts w:ascii="Times New Roman" w:hAnsi="Times New Roman" w:cs="Times New Roman"/>
          <w:sz w:val="24"/>
        </w:rPr>
        <w:t xml:space="preserve"> Ez l</w:t>
      </w:r>
      <w:r w:rsidR="00CD7021" w:rsidRPr="00070A1E">
        <w:rPr>
          <w:rFonts w:ascii="Times New Roman" w:hAnsi="Times New Roman" w:cs="Times New Roman"/>
          <w:sz w:val="24"/>
        </w:rPr>
        <w:t>egnagyobb arányban agyagásványokból áll (alumínium-szilikátok</w:t>
      </w:r>
      <w:r w:rsidR="0078551E" w:rsidRPr="00070A1E">
        <w:rPr>
          <w:rFonts w:ascii="Times New Roman" w:hAnsi="Times New Roman" w:cs="Times New Roman"/>
          <w:sz w:val="24"/>
        </w:rPr>
        <w:t>) melyekre</w:t>
      </w:r>
      <w:r w:rsidR="00CD7021" w:rsidRPr="00070A1E">
        <w:rPr>
          <w:rFonts w:ascii="Times New Roman" w:hAnsi="Times New Roman" w:cs="Times New Roman"/>
          <w:sz w:val="24"/>
        </w:rPr>
        <w:t xml:space="preserve"> jellemző, hogy réteges szerkezeteket alkotnak, ahol a rétegek közötti összetartó erő kisebb, mint a rétegen belüli. Mellettük azonban előfordulhatnak ebben a mérettartományban egyéb ásványok is, pl. oxidok és különféle káliumsók. Oxidok közül a leggyakoribb komponensek a különböző vasoxidok, alumíniumoxidok, míg a többi előforduló oxid (pl. </w:t>
      </w:r>
      <w:proofErr w:type="spellStart"/>
      <w:r w:rsidR="00CD7021" w:rsidRPr="00070A1E">
        <w:rPr>
          <w:rFonts w:ascii="Times New Roman" w:hAnsi="Times New Roman" w:cs="Times New Roman"/>
          <w:sz w:val="24"/>
        </w:rPr>
        <w:t>Mn</w:t>
      </w:r>
      <w:proofErr w:type="spellEnd"/>
      <w:r w:rsidR="00CD7021" w:rsidRPr="00070A1E">
        <w:rPr>
          <w:rFonts w:ascii="Times New Roman" w:hAnsi="Times New Roman" w:cs="Times New Roman"/>
          <w:sz w:val="24"/>
        </w:rPr>
        <w:t xml:space="preserve"> és Ti oxidjai) sokkal kisebb arányban van jelen. </w:t>
      </w:r>
      <w:proofErr w:type="gramStart"/>
      <w:r w:rsidR="00CD7021" w:rsidRPr="00070A1E">
        <w:rPr>
          <w:rFonts w:ascii="Times New Roman" w:hAnsi="Times New Roman" w:cs="Times New Roman"/>
          <w:sz w:val="24"/>
        </w:rPr>
        <w:t>A CaCO</w:t>
      </w:r>
      <w:r w:rsidR="00CD7021" w:rsidRPr="00070A1E">
        <w:rPr>
          <w:rFonts w:ascii="Times New Roman" w:hAnsi="Times New Roman" w:cs="Times New Roman"/>
          <w:sz w:val="24"/>
          <w:vertAlign w:val="subscript"/>
        </w:rPr>
        <w:t>3</w:t>
      </w:r>
      <w:r w:rsidR="00CD7021" w:rsidRPr="00070A1E">
        <w:rPr>
          <w:rFonts w:ascii="Times New Roman" w:hAnsi="Times New Roman" w:cs="Times New Roman"/>
          <w:sz w:val="24"/>
        </w:rPr>
        <w:t xml:space="preserve"> és a CaSO</w:t>
      </w:r>
      <w:r w:rsidR="00CD7021" w:rsidRPr="00070A1E">
        <w:rPr>
          <w:rFonts w:ascii="Times New Roman" w:hAnsi="Times New Roman" w:cs="Times New Roman"/>
          <w:sz w:val="24"/>
          <w:vertAlign w:val="subscript"/>
        </w:rPr>
        <w:t>4</w:t>
      </w:r>
      <w:r w:rsidR="00094042" w:rsidRPr="00070A1E">
        <w:rPr>
          <w:rFonts w:ascii="Times New Roman" w:hAnsi="Times New Roman" w:cs="Times New Roman"/>
          <w:sz w:val="24"/>
        </w:rPr>
        <w:t xml:space="preserve"> a két legfőbb ka</w:t>
      </w:r>
      <w:r w:rsidR="00CD7021" w:rsidRPr="00070A1E">
        <w:rPr>
          <w:rFonts w:ascii="Times New Roman" w:hAnsi="Times New Roman" w:cs="Times New Roman"/>
          <w:sz w:val="24"/>
        </w:rPr>
        <w:t>l</w:t>
      </w:r>
      <w:r w:rsidR="00094042" w:rsidRPr="00070A1E">
        <w:rPr>
          <w:rFonts w:ascii="Times New Roman" w:hAnsi="Times New Roman" w:cs="Times New Roman"/>
          <w:sz w:val="24"/>
        </w:rPr>
        <w:t>c</w:t>
      </w:r>
      <w:r w:rsidR="00CD7021" w:rsidRPr="00070A1E">
        <w:rPr>
          <w:rFonts w:ascii="Times New Roman" w:hAnsi="Times New Roman" w:cs="Times New Roman"/>
          <w:sz w:val="24"/>
        </w:rPr>
        <w:t xml:space="preserve">iumtartalmú összetevő, és bizonyos talajoknál akár </w:t>
      </w:r>
      <w:r w:rsidR="0078551E" w:rsidRPr="00070A1E">
        <w:rPr>
          <w:rFonts w:ascii="Times New Roman" w:hAnsi="Times New Roman" w:cs="Times New Roman"/>
          <w:sz w:val="24"/>
        </w:rPr>
        <w:t>50%-os arányban is jelen lehetnek.</w:t>
      </w:r>
      <w:proofErr w:type="gramEnd"/>
      <w:r w:rsidR="0078551E" w:rsidRPr="00070A1E">
        <w:rPr>
          <w:rFonts w:ascii="Times New Roman" w:hAnsi="Times New Roman" w:cs="Times New Roman"/>
          <w:sz w:val="24"/>
        </w:rPr>
        <w:t xml:space="preserve"> </w:t>
      </w:r>
      <w:r w:rsidR="001E0539" w:rsidRPr="00070A1E">
        <w:rPr>
          <w:rFonts w:ascii="Times New Roman" w:hAnsi="Times New Roman" w:cs="Times New Roman"/>
          <w:sz w:val="24"/>
        </w:rPr>
        <w:fldChar w:fldCharType="begin" w:fldLock="1"/>
      </w:r>
      <w:r w:rsidR="004819EC" w:rsidRPr="00070A1E">
        <w:rPr>
          <w:rFonts w:ascii="Times New Roman" w:hAnsi="Times New Roman" w:cs="Times New Roman"/>
          <w:sz w:val="24"/>
        </w:rPr>
        <w:instrText>ADDIN CSL_CITATION {"citationItems":[{"id":"ITEM-1","itemData":{"DOI":"10.1007/978-3-642-61147-6","ISBN":"978-3-642-64716-1","abstract":"The soil is the medium through which pollutants originating from human activities, both in agriculture and industry, move from the land surfaces to groundwater. Polluting substances are subject to complex physical, chemical and biological transformations during their movement through the soil. Their displacement depends on the transport properties of the water-air-soil system and on the molecular properties of the pollutants. Prediction of soil pollution and restoration of polluted soils requires an under­ standing of the processes controlling the fate of pollutants in the soil medium and of the dynamics of the contaminants in the un­ saturated zone. Our book was conceived· as a basic overview of the processes governing the behavior of pollutants as affected by soil constituents and environmental factors. It was written for the use of specialists working on soil and unsaturated zone pollution and restoration, as well as for graduate students starting research in this field. Since many specialists working on soil restoration lack a back­ ground in soil science or a knowledge of the properties of soil pollutants, we have included this information which forms the first part of the book. In the second part, we discuss the partitioning of pollutants between the aqueous, solid and gaseous phase of the soil medium. The retention, transformation and transport of pollutants in the soils form the third section.","author":[{"dropping-particle":"","family":"Yaron","given":"Bruno","non-dropping-particle":"","parse-names":false,"suffix":""},{"dropping-particle":"","family":"Calvet","given":"Raoul","non-dropping-particle":"","parse-names":false,"suffix":""},{"dropping-particle":"","family":"Prost","given":"René","non-dropping-particle":"","parse-names":false,"suffix":""}],"id":"ITEM-1","issued":{"date-parts":[["1996"]]},"number-of-pages":"313","publisher":"Springer Berlin Heidelberg","publisher-place":"Berlin, Heidelberg","title":"Soil Pollution","type":"book"},"uris":["http://www.mendeley.com/documents/?uuid=eb0d64f1-53c3-4d43-87d1-29f6c813ee56"]}],"mendeley":{"formattedCitation":"[2]","plainTextFormattedCitation":"[2]","previouslyFormattedCitation":"[2]"},"properties":{"noteIndex":0},"schema":"https://github.com/citation-style-language/schema/raw/master/csl-citation.json"}</w:instrText>
      </w:r>
      <w:r w:rsidR="001E0539" w:rsidRPr="00070A1E">
        <w:rPr>
          <w:rFonts w:ascii="Times New Roman" w:hAnsi="Times New Roman" w:cs="Times New Roman"/>
          <w:sz w:val="24"/>
        </w:rPr>
        <w:fldChar w:fldCharType="separate"/>
      </w:r>
      <w:r w:rsidR="0078551E" w:rsidRPr="00070A1E">
        <w:rPr>
          <w:rFonts w:ascii="Times New Roman" w:hAnsi="Times New Roman" w:cs="Times New Roman"/>
          <w:noProof/>
          <w:sz w:val="24"/>
        </w:rPr>
        <w:t>[2]</w:t>
      </w:r>
      <w:r w:rsidR="001E0539" w:rsidRPr="00070A1E">
        <w:rPr>
          <w:rFonts w:ascii="Times New Roman" w:hAnsi="Times New Roman" w:cs="Times New Roman"/>
          <w:sz w:val="24"/>
        </w:rPr>
        <w:fldChar w:fldCharType="end"/>
      </w:r>
      <w:r w:rsidR="0078551E" w:rsidRPr="00070A1E">
        <w:rPr>
          <w:rFonts w:ascii="Times New Roman" w:hAnsi="Times New Roman" w:cs="Times New Roman"/>
          <w:sz w:val="24"/>
        </w:rPr>
        <w:t xml:space="preserve"> </w:t>
      </w:r>
    </w:p>
    <w:p w:rsidR="004A6956" w:rsidRPr="00070A1E" w:rsidRDefault="0078551E" w:rsidP="0078551E">
      <w:pPr>
        <w:jc w:val="both"/>
        <w:rPr>
          <w:rFonts w:ascii="Times New Roman" w:hAnsi="Times New Roman" w:cs="Times New Roman"/>
          <w:sz w:val="24"/>
        </w:rPr>
      </w:pPr>
      <w:r w:rsidRPr="00070A1E">
        <w:rPr>
          <w:rFonts w:ascii="Times New Roman" w:hAnsi="Times New Roman" w:cs="Times New Roman"/>
          <w:sz w:val="24"/>
        </w:rPr>
        <w:tab/>
        <w:t>A szerves hányad a különféle élőlények maradványaiból származik, és összetevői számos szűkebb kategóriába sorolhatók. Talajminták esetén általában oldhatóságuk alapján osztják kategóriákba</w:t>
      </w:r>
      <w:r w:rsidR="000D11C3" w:rsidRPr="00070A1E">
        <w:rPr>
          <w:rFonts w:ascii="Times New Roman" w:hAnsi="Times New Roman" w:cs="Times New Roman"/>
          <w:sz w:val="24"/>
        </w:rPr>
        <w:t xml:space="preserve"> őket (savban, szervetlen bázisban, alkoholban </w:t>
      </w:r>
      <w:r w:rsidR="00094042" w:rsidRPr="00070A1E">
        <w:rPr>
          <w:rFonts w:ascii="Times New Roman" w:hAnsi="Times New Roman" w:cs="Times New Roman"/>
          <w:sz w:val="24"/>
        </w:rPr>
        <w:t>oldódó</w:t>
      </w:r>
      <w:r w:rsidR="000D11C3" w:rsidRPr="00070A1E">
        <w:rPr>
          <w:rFonts w:ascii="Times New Roman" w:hAnsi="Times New Roman" w:cs="Times New Roman"/>
          <w:sz w:val="24"/>
        </w:rPr>
        <w:t>). E szerves vegyületek általában hidrofób tulajdonágúak, ami meghatározza a többi talajalkotóval való kölcsönhatásukat. Bár a különböző fémoxidok</w:t>
      </w:r>
      <w:r w:rsidR="00094042" w:rsidRPr="00070A1E">
        <w:rPr>
          <w:rFonts w:ascii="Times New Roman" w:hAnsi="Times New Roman" w:cs="Times New Roman"/>
          <w:sz w:val="24"/>
        </w:rPr>
        <w:t>ra</w:t>
      </w:r>
      <w:r w:rsidR="000D11C3" w:rsidRPr="00070A1E">
        <w:rPr>
          <w:rFonts w:ascii="Times New Roman" w:hAnsi="Times New Roman" w:cs="Times New Roman"/>
          <w:sz w:val="24"/>
        </w:rPr>
        <w:t>, kalciumvegyületekre is jellemző, hogy az agyagásvány struktúrák nagy fajlag</w:t>
      </w:r>
      <w:r w:rsidR="00094042" w:rsidRPr="00070A1E">
        <w:rPr>
          <w:rFonts w:ascii="Times New Roman" w:hAnsi="Times New Roman" w:cs="Times New Roman"/>
          <w:sz w:val="24"/>
        </w:rPr>
        <w:t>os felülete miatt adszorbeálódnak azokon</w:t>
      </w:r>
      <w:r w:rsidR="000D11C3" w:rsidRPr="00070A1E">
        <w:rPr>
          <w:rFonts w:ascii="Times New Roman" w:hAnsi="Times New Roman" w:cs="Times New Roman"/>
          <w:sz w:val="24"/>
        </w:rPr>
        <w:t xml:space="preserve">, ez a </w:t>
      </w:r>
      <w:r w:rsidR="000D11C3" w:rsidRPr="00070A1E">
        <w:rPr>
          <w:rFonts w:ascii="Times New Roman" w:hAnsi="Times New Roman" w:cs="Times New Roman"/>
          <w:sz w:val="24"/>
        </w:rPr>
        <w:lastRenderedPageBreak/>
        <w:t xml:space="preserve">kölcsönhatás jóval jelentősebb a szerves molekulák esetében. Az adszorpciójukat számos jelenség elősegíti, például ilyen a </w:t>
      </w:r>
      <w:proofErr w:type="spellStart"/>
      <w:r w:rsidR="000D11C3" w:rsidRPr="00070A1E">
        <w:rPr>
          <w:rFonts w:ascii="Times New Roman" w:hAnsi="Times New Roman" w:cs="Times New Roman"/>
          <w:sz w:val="24"/>
        </w:rPr>
        <w:t>kationcsere</w:t>
      </w:r>
      <w:proofErr w:type="spellEnd"/>
      <w:r w:rsidR="000D11C3" w:rsidRPr="00070A1E">
        <w:rPr>
          <w:rFonts w:ascii="Times New Roman" w:hAnsi="Times New Roman" w:cs="Times New Roman"/>
          <w:sz w:val="24"/>
        </w:rPr>
        <w:t xml:space="preserve">, </w:t>
      </w:r>
      <w:proofErr w:type="spellStart"/>
      <w:r w:rsidR="000D11C3" w:rsidRPr="00070A1E">
        <w:rPr>
          <w:rFonts w:ascii="Times New Roman" w:hAnsi="Times New Roman" w:cs="Times New Roman"/>
          <w:sz w:val="24"/>
        </w:rPr>
        <w:t>ligandumcsere</w:t>
      </w:r>
      <w:proofErr w:type="spellEnd"/>
      <w:r w:rsidR="000D11C3" w:rsidRPr="00070A1E">
        <w:rPr>
          <w:rFonts w:ascii="Times New Roman" w:hAnsi="Times New Roman" w:cs="Times New Roman"/>
          <w:sz w:val="24"/>
        </w:rPr>
        <w:t>, és a hidrogénhidak kialakulása.</w:t>
      </w:r>
      <w:r w:rsidR="004819EC" w:rsidRPr="00070A1E">
        <w:rPr>
          <w:rFonts w:ascii="Times New Roman" w:hAnsi="Times New Roman" w:cs="Times New Roman"/>
          <w:sz w:val="24"/>
        </w:rPr>
        <w:t xml:space="preserve"> Az egyik legfontosabb a </w:t>
      </w:r>
      <w:proofErr w:type="spellStart"/>
      <w:r w:rsidR="004819EC" w:rsidRPr="00070A1E">
        <w:rPr>
          <w:rFonts w:ascii="Times New Roman" w:hAnsi="Times New Roman" w:cs="Times New Roman"/>
          <w:sz w:val="24"/>
        </w:rPr>
        <w:t>humin</w:t>
      </w:r>
      <w:proofErr w:type="spellEnd"/>
      <w:r w:rsidR="004819EC" w:rsidRPr="00070A1E">
        <w:rPr>
          <w:rFonts w:ascii="Times New Roman" w:hAnsi="Times New Roman" w:cs="Times New Roman"/>
          <w:sz w:val="24"/>
        </w:rPr>
        <w:t xml:space="preserve"> és </w:t>
      </w:r>
      <w:proofErr w:type="spellStart"/>
      <w:r w:rsidR="004819EC" w:rsidRPr="00070A1E">
        <w:rPr>
          <w:rFonts w:ascii="Times New Roman" w:hAnsi="Times New Roman" w:cs="Times New Roman"/>
          <w:sz w:val="24"/>
        </w:rPr>
        <w:t>fulvinsavak</w:t>
      </w:r>
      <w:proofErr w:type="spellEnd"/>
      <w:r w:rsidR="004819EC" w:rsidRPr="00070A1E">
        <w:rPr>
          <w:rFonts w:ascii="Times New Roman" w:hAnsi="Times New Roman" w:cs="Times New Roman"/>
          <w:sz w:val="24"/>
        </w:rPr>
        <w:t xml:space="preserve"> kölcsönhatása az agyagásványok felszínével, amihez, </w:t>
      </w:r>
      <w:proofErr w:type="gramStart"/>
      <w:r w:rsidR="004819EC" w:rsidRPr="00070A1E">
        <w:rPr>
          <w:rFonts w:ascii="Times New Roman" w:hAnsi="Times New Roman" w:cs="Times New Roman"/>
          <w:sz w:val="24"/>
        </w:rPr>
        <w:t>e</w:t>
      </w:r>
      <w:proofErr w:type="gramEnd"/>
      <w:r w:rsidR="004819EC" w:rsidRPr="00070A1E">
        <w:rPr>
          <w:rFonts w:ascii="Times New Roman" w:hAnsi="Times New Roman" w:cs="Times New Roman"/>
          <w:sz w:val="24"/>
        </w:rPr>
        <w:t xml:space="preserve"> ásványok negatív töltésű felülete miatt többszörös töltésű fémionok jelenléte (Fe</w:t>
      </w:r>
      <w:r w:rsidR="004819EC" w:rsidRPr="00070A1E">
        <w:rPr>
          <w:rFonts w:ascii="Times New Roman" w:hAnsi="Times New Roman" w:cs="Times New Roman"/>
          <w:sz w:val="24"/>
          <w:vertAlign w:val="superscript"/>
        </w:rPr>
        <w:t>3+</w:t>
      </w:r>
      <w:r w:rsidR="004819EC" w:rsidRPr="00070A1E">
        <w:rPr>
          <w:rFonts w:ascii="Times New Roman" w:hAnsi="Times New Roman" w:cs="Times New Roman"/>
          <w:sz w:val="24"/>
        </w:rPr>
        <w:t>, Al</w:t>
      </w:r>
      <w:r w:rsidR="004819EC" w:rsidRPr="00070A1E">
        <w:rPr>
          <w:rFonts w:ascii="Times New Roman" w:hAnsi="Times New Roman" w:cs="Times New Roman"/>
          <w:sz w:val="24"/>
          <w:vertAlign w:val="superscript"/>
        </w:rPr>
        <w:t>3+</w:t>
      </w:r>
      <w:r w:rsidR="004819EC" w:rsidRPr="00070A1E">
        <w:rPr>
          <w:rFonts w:ascii="Times New Roman" w:hAnsi="Times New Roman" w:cs="Times New Roman"/>
          <w:sz w:val="24"/>
        </w:rPr>
        <w:t>) szükséges, melyek koordinációs komplexet képeznek a szerves vegyületekkel.</w:t>
      </w:r>
    </w:p>
    <w:p w:rsidR="004819EC" w:rsidRPr="00070A1E" w:rsidRDefault="004819EC" w:rsidP="004819EC">
      <w:pPr>
        <w:ind w:firstLine="360"/>
        <w:jc w:val="both"/>
        <w:rPr>
          <w:rFonts w:ascii="Times New Roman" w:hAnsi="Times New Roman" w:cs="Times New Roman"/>
          <w:sz w:val="24"/>
        </w:rPr>
      </w:pPr>
      <w:r w:rsidRPr="00070A1E">
        <w:rPr>
          <w:rFonts w:ascii="Times New Roman" w:hAnsi="Times New Roman" w:cs="Times New Roman"/>
          <w:sz w:val="24"/>
        </w:rPr>
        <w:t>A fentiek mellet a talaj szilárd hányadához tartoznak a nagyméretű szilárd szemcsék is (pl. homok). A nagy szemcsék és a finom agyagásványok aránya nagymértékben meghatározza a talaj legfontosabb, víztárolással kapcsolatos tulajdonságait, amit</w:t>
      </w:r>
      <w:r w:rsidR="00094042" w:rsidRPr="00070A1E">
        <w:rPr>
          <w:rFonts w:ascii="Times New Roman" w:hAnsi="Times New Roman" w:cs="Times New Roman"/>
          <w:sz w:val="24"/>
        </w:rPr>
        <w:t xml:space="preserve"> a 4</w:t>
      </w:r>
      <w:r w:rsidRPr="00070A1E">
        <w:rPr>
          <w:rFonts w:ascii="Times New Roman" w:hAnsi="Times New Roman" w:cs="Times New Roman"/>
          <w:sz w:val="24"/>
        </w:rPr>
        <w:t>. fejezetben fogok kifejteni.</w:t>
      </w:r>
    </w:p>
    <w:p w:rsidR="004819EC" w:rsidRPr="00070A1E" w:rsidRDefault="004819EC" w:rsidP="002E575E">
      <w:pPr>
        <w:ind w:firstLine="360"/>
        <w:jc w:val="both"/>
        <w:rPr>
          <w:rFonts w:ascii="Times New Roman" w:hAnsi="Times New Roman" w:cs="Times New Roman"/>
          <w:sz w:val="24"/>
        </w:rPr>
      </w:pPr>
      <w:r w:rsidRPr="00070A1E">
        <w:rPr>
          <w:rFonts w:ascii="Times New Roman" w:hAnsi="Times New Roman" w:cs="Times New Roman"/>
          <w:sz w:val="24"/>
        </w:rPr>
        <w:t>A talaj folyadékfázisát a víz, illetve a vizes oldatok adják. A folyadék és szilárd fázisok között, a határrétege</w:t>
      </w:r>
      <w:r w:rsidR="00D55B9F" w:rsidRPr="00070A1E">
        <w:rPr>
          <w:rFonts w:ascii="Times New Roman" w:hAnsi="Times New Roman" w:cs="Times New Roman"/>
          <w:sz w:val="24"/>
        </w:rPr>
        <w:t xml:space="preserve">n folyamatos oldott </w:t>
      </w:r>
      <w:r w:rsidRPr="00070A1E">
        <w:rPr>
          <w:rFonts w:ascii="Times New Roman" w:hAnsi="Times New Roman" w:cs="Times New Roman"/>
          <w:sz w:val="24"/>
        </w:rPr>
        <w:t xml:space="preserve">anyag transzport </w:t>
      </w:r>
      <w:r w:rsidR="00094042" w:rsidRPr="00070A1E">
        <w:rPr>
          <w:rFonts w:ascii="Times New Roman" w:hAnsi="Times New Roman" w:cs="Times New Roman"/>
          <w:sz w:val="24"/>
        </w:rPr>
        <w:t>történik</w:t>
      </w:r>
      <w:r w:rsidRPr="00070A1E">
        <w:rPr>
          <w:rFonts w:ascii="Times New Roman" w:hAnsi="Times New Roman" w:cs="Times New Roman"/>
          <w:sz w:val="24"/>
        </w:rPr>
        <w:t xml:space="preserve">. </w:t>
      </w:r>
      <w:proofErr w:type="gramStart"/>
      <w:r w:rsidRPr="00070A1E">
        <w:rPr>
          <w:rFonts w:ascii="Times New Roman" w:hAnsi="Times New Roman" w:cs="Times New Roman"/>
          <w:sz w:val="24"/>
        </w:rPr>
        <w:t>A talaj, víz számára hozzáférhetetlen, túl kis átmérőjű, illetve zárt pórusai alkotják a talaj gázfázisát, mely összetételében hasonló a levegőhöz, de környezettől, hidratáltságtól függően a CO</w:t>
      </w:r>
      <w:r w:rsidRPr="00070A1E">
        <w:rPr>
          <w:rFonts w:ascii="Times New Roman" w:hAnsi="Times New Roman" w:cs="Times New Roman"/>
          <w:sz w:val="24"/>
          <w:vertAlign w:val="subscript"/>
        </w:rPr>
        <w:t>2</w:t>
      </w:r>
      <w:r w:rsidRPr="00070A1E">
        <w:rPr>
          <w:rFonts w:ascii="Times New Roman" w:hAnsi="Times New Roman" w:cs="Times New Roman"/>
          <w:sz w:val="24"/>
        </w:rPr>
        <w:t xml:space="preserve"> mennyisége akár a 10%-os arányt is elérheti.</w:t>
      </w:r>
      <w:proofErr w:type="gramEnd"/>
      <w:r w:rsidRPr="00070A1E">
        <w:rPr>
          <w:rFonts w:ascii="Times New Roman" w:hAnsi="Times New Roman" w:cs="Times New Roman"/>
          <w:sz w:val="24"/>
        </w:rPr>
        <w:t xml:space="preserve"> </w:t>
      </w:r>
      <w:r w:rsidR="001E0539" w:rsidRPr="00070A1E">
        <w:rPr>
          <w:rFonts w:ascii="Times New Roman" w:hAnsi="Times New Roman" w:cs="Times New Roman"/>
          <w:sz w:val="24"/>
        </w:rPr>
        <w:fldChar w:fldCharType="begin" w:fldLock="1"/>
      </w:r>
      <w:r w:rsidR="00D55B9F" w:rsidRPr="00070A1E">
        <w:rPr>
          <w:rFonts w:ascii="Times New Roman" w:hAnsi="Times New Roman" w:cs="Times New Roman"/>
          <w:sz w:val="24"/>
        </w:rPr>
        <w:instrText>ADDIN CSL_CITATION {"citationItems":[{"id":"ITEM-1","itemData":{"DOI":"10.1007/978-3-642-61147-6","ISBN":"978-3-642-64716-1","abstract":"The soil is the medium through which pollutants originating from human activities, both in agriculture and industry, move from the land surfaces to groundwater. Polluting substances are subject to complex physical, chemical and biological transformations during their movement through the soil. Their displacement depends on the transport properties of the water-air-soil system and on the molecular properties of the pollutants. Prediction of soil pollution and restoration of polluted soils requires an under­ standing of the processes controlling the fate of pollutants in the soil medium and of the dynamics of the contaminants in the un­ saturated zone. Our book was conceived· as a basic overview of the processes governing the behavior of pollutants as affected by soil constituents and environmental factors. It was written for the use of specialists working on soil and unsaturated zone pollution and restoration, as well as for graduate students starting research in this field. Since many specialists working on soil restoration lack a back­ ground in soil science or a knowledge of the properties of soil pollutants, we have included this information which forms the first part of the book. In the second part, we discuss the partitioning of pollutants between the aqueous, solid and gaseous phase of the soil medium. The retention, transformation and transport of pollutants in the soils form the third section.","author":[{"dropping-particle":"","family":"Yaron","given":"Bruno","non-dropping-particle":"","parse-names":false,"suffix":""},{"dropping-particle":"","family":"Calvet","given":"Raoul","non-dropping-particle":"","parse-names":false,"suffix":""},{"dropping-particle":"","family":"Prost","given":"René","non-dropping-particle":"","parse-names":false,"suffix":""}],"id":"ITEM-1","issued":{"date-parts":[["1996"]]},"number-of-pages":"313","publisher":"Springer Berlin Heidelberg","publisher-place":"Berlin, Heidelberg","title":"Soil Pollution","type":"book"},"uris":["http://www.mendeley.com/documents/?uuid=eb0d64f1-53c3-4d43-87d1-29f6c813ee56"]}],"mendeley":{"formattedCitation":"[2]","plainTextFormattedCitation":"[2]","previouslyFormattedCitation":"[2]"},"properties":{"noteIndex":0},"schema":"https://github.com/citation-style-language/schema/raw/master/csl-citation.json"}</w:instrText>
      </w:r>
      <w:r w:rsidR="001E0539" w:rsidRPr="00070A1E">
        <w:rPr>
          <w:rFonts w:ascii="Times New Roman" w:hAnsi="Times New Roman" w:cs="Times New Roman"/>
          <w:sz w:val="24"/>
        </w:rPr>
        <w:fldChar w:fldCharType="separate"/>
      </w:r>
      <w:r w:rsidRPr="00070A1E">
        <w:rPr>
          <w:rFonts w:ascii="Times New Roman" w:hAnsi="Times New Roman" w:cs="Times New Roman"/>
          <w:noProof/>
          <w:sz w:val="24"/>
        </w:rPr>
        <w:t>[2]</w:t>
      </w:r>
      <w:r w:rsidR="001E0539" w:rsidRPr="00070A1E">
        <w:rPr>
          <w:rFonts w:ascii="Times New Roman" w:hAnsi="Times New Roman" w:cs="Times New Roman"/>
          <w:sz w:val="24"/>
        </w:rPr>
        <w:fldChar w:fldCharType="end"/>
      </w:r>
      <w:r w:rsidRPr="00070A1E">
        <w:rPr>
          <w:rFonts w:ascii="Times New Roman" w:hAnsi="Times New Roman" w:cs="Times New Roman"/>
          <w:sz w:val="24"/>
        </w:rPr>
        <w:t xml:space="preserve"> </w:t>
      </w:r>
    </w:p>
    <w:p w:rsidR="00094042" w:rsidRPr="00070A1E" w:rsidRDefault="00094042" w:rsidP="00094042">
      <w:pPr>
        <w:jc w:val="both"/>
        <w:rPr>
          <w:rFonts w:ascii="Times New Roman" w:hAnsi="Times New Roman" w:cs="Times New Roman"/>
          <w:sz w:val="24"/>
        </w:rPr>
      </w:pPr>
    </w:p>
    <w:p w:rsidR="00D7577E" w:rsidRPr="00070A1E" w:rsidRDefault="00D7577E" w:rsidP="00841F55">
      <w:pPr>
        <w:pStyle w:val="Listaszerbekezds"/>
        <w:numPr>
          <w:ilvl w:val="0"/>
          <w:numId w:val="4"/>
        </w:numPr>
        <w:jc w:val="center"/>
        <w:rPr>
          <w:rFonts w:ascii="Times New Roman" w:hAnsi="Times New Roman" w:cs="Times New Roman"/>
          <w:b/>
          <w:sz w:val="28"/>
        </w:rPr>
      </w:pPr>
      <w:r w:rsidRPr="00070A1E">
        <w:rPr>
          <w:rFonts w:ascii="Times New Roman" w:hAnsi="Times New Roman" w:cs="Times New Roman"/>
          <w:b/>
          <w:sz w:val="28"/>
        </w:rPr>
        <w:t>Pórusok a talajban</w:t>
      </w:r>
    </w:p>
    <w:p w:rsidR="00CF149F" w:rsidRPr="00070A1E" w:rsidRDefault="00D7577E" w:rsidP="00D55B9F">
      <w:pPr>
        <w:ind w:firstLine="426"/>
        <w:jc w:val="both"/>
        <w:rPr>
          <w:rFonts w:ascii="Times New Roman" w:hAnsi="Times New Roman" w:cs="Times New Roman"/>
          <w:sz w:val="24"/>
        </w:rPr>
      </w:pPr>
      <w:r w:rsidRPr="00070A1E">
        <w:rPr>
          <w:rFonts w:ascii="Times New Roman" w:hAnsi="Times New Roman" w:cs="Times New Roman"/>
          <w:sz w:val="24"/>
        </w:rPr>
        <w:t xml:space="preserve">A talaj </w:t>
      </w:r>
      <w:r w:rsidR="00D55B9F" w:rsidRPr="00070A1E">
        <w:rPr>
          <w:rFonts w:ascii="Times New Roman" w:hAnsi="Times New Roman" w:cs="Times New Roman"/>
          <w:sz w:val="24"/>
        </w:rPr>
        <w:t>komponensei egy</w:t>
      </w:r>
      <w:r w:rsidRPr="00070A1E">
        <w:rPr>
          <w:rFonts w:ascii="Times New Roman" w:hAnsi="Times New Roman" w:cs="Times New Roman"/>
          <w:sz w:val="24"/>
        </w:rPr>
        <w:t xml:space="preserve"> heterogén rendszert alkotnak, melyben a szerves és szervetlen szemcsék közötti tér vízzel vagy levegővel van megtöltve, a körülményektől függően. Ez a</w:t>
      </w:r>
      <w:r w:rsidR="006A139D" w:rsidRPr="00070A1E">
        <w:rPr>
          <w:rFonts w:ascii="Times New Roman" w:hAnsi="Times New Roman" w:cs="Times New Roman"/>
          <w:sz w:val="24"/>
        </w:rPr>
        <w:t xml:space="preserve"> részecskék közötti tér</w:t>
      </w:r>
      <w:r w:rsidR="00D55B9F" w:rsidRPr="00070A1E">
        <w:rPr>
          <w:rFonts w:ascii="Times New Roman" w:hAnsi="Times New Roman" w:cs="Times New Roman"/>
          <w:sz w:val="24"/>
        </w:rPr>
        <w:t>, illetve a porózus szemcsék pórusai</w:t>
      </w:r>
      <w:r w:rsidR="006A139D" w:rsidRPr="00070A1E">
        <w:rPr>
          <w:rFonts w:ascii="Times New Roman" w:hAnsi="Times New Roman" w:cs="Times New Roman"/>
          <w:sz w:val="24"/>
        </w:rPr>
        <w:t xml:space="preserve"> </w:t>
      </w:r>
      <w:r w:rsidR="00D55B9F" w:rsidRPr="00070A1E">
        <w:rPr>
          <w:rFonts w:ascii="Times New Roman" w:hAnsi="Times New Roman" w:cs="Times New Roman"/>
          <w:sz w:val="24"/>
        </w:rPr>
        <w:t>adják a talaj</w:t>
      </w:r>
      <w:r w:rsidR="006A139D" w:rsidRPr="00070A1E">
        <w:rPr>
          <w:rFonts w:ascii="Times New Roman" w:hAnsi="Times New Roman" w:cs="Times New Roman"/>
          <w:sz w:val="24"/>
        </w:rPr>
        <w:t xml:space="preserve"> porozitását.</w:t>
      </w:r>
      <w:r w:rsidR="004A6956" w:rsidRPr="00070A1E">
        <w:rPr>
          <w:rFonts w:ascii="Times New Roman" w:hAnsi="Times New Roman" w:cs="Times New Roman"/>
          <w:sz w:val="24"/>
        </w:rPr>
        <w:t xml:space="preserve"> Ezek a pórusok teszik lehetővé a víz, illetve az oldott anyagok, tápanyagok transzportját.</w:t>
      </w:r>
      <w:r w:rsidR="006A139D" w:rsidRPr="00070A1E">
        <w:rPr>
          <w:rFonts w:ascii="Times New Roman" w:hAnsi="Times New Roman" w:cs="Times New Roman"/>
          <w:sz w:val="24"/>
        </w:rPr>
        <w:t xml:space="preserve"> </w:t>
      </w:r>
      <w:r w:rsidRPr="00070A1E">
        <w:rPr>
          <w:rFonts w:ascii="Times New Roman" w:hAnsi="Times New Roman" w:cs="Times New Roman"/>
          <w:sz w:val="24"/>
        </w:rPr>
        <w:t xml:space="preserve">Fontos, hogy a talaj összetétele, szerkezete, felépítése </w:t>
      </w:r>
      <w:r w:rsidR="00646250" w:rsidRPr="00070A1E">
        <w:rPr>
          <w:rFonts w:ascii="Times New Roman" w:hAnsi="Times New Roman" w:cs="Times New Roman"/>
          <w:sz w:val="24"/>
        </w:rPr>
        <w:t>időben változó</w:t>
      </w:r>
      <w:r w:rsidR="00094042" w:rsidRPr="00070A1E">
        <w:rPr>
          <w:rFonts w:ascii="Times New Roman" w:hAnsi="Times New Roman" w:cs="Times New Roman"/>
          <w:sz w:val="24"/>
        </w:rPr>
        <w:t xml:space="preserve"> a környezeti hatások függvényében</w:t>
      </w:r>
      <w:r w:rsidR="00646250" w:rsidRPr="00070A1E">
        <w:rPr>
          <w:rFonts w:ascii="Times New Roman" w:hAnsi="Times New Roman" w:cs="Times New Roman"/>
          <w:sz w:val="24"/>
        </w:rPr>
        <w:t>. A legfontosabb hatások a következőek:</w:t>
      </w:r>
    </w:p>
    <w:p w:rsidR="00646250" w:rsidRPr="00070A1E" w:rsidRDefault="00646250" w:rsidP="00646250">
      <w:pPr>
        <w:jc w:val="both"/>
        <w:rPr>
          <w:rFonts w:ascii="Times New Roman" w:hAnsi="Times New Roman" w:cs="Times New Roman"/>
          <w:sz w:val="24"/>
        </w:rPr>
      </w:pPr>
      <w:r w:rsidRPr="00070A1E">
        <w:rPr>
          <w:rFonts w:ascii="Times New Roman" w:hAnsi="Times New Roman" w:cs="Times New Roman"/>
          <w:sz w:val="24"/>
        </w:rPr>
        <w:t xml:space="preserve">Zsugorodás: </w:t>
      </w:r>
    </w:p>
    <w:p w:rsidR="00646250" w:rsidRPr="00070A1E" w:rsidRDefault="00BC675C" w:rsidP="00646250">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 xml:space="preserve">A </w:t>
      </w:r>
      <w:r w:rsidR="00646250" w:rsidRPr="00070A1E">
        <w:rPr>
          <w:rFonts w:ascii="Times New Roman" w:hAnsi="Times New Roman" w:cs="Times New Roman"/>
          <w:sz w:val="24"/>
        </w:rPr>
        <w:t>makropórusok</w:t>
      </w:r>
      <w:r w:rsidRPr="00070A1E">
        <w:rPr>
          <w:rFonts w:ascii="Times New Roman" w:hAnsi="Times New Roman" w:cs="Times New Roman"/>
          <w:sz w:val="24"/>
        </w:rPr>
        <w:t xml:space="preserve"> mérete</w:t>
      </w:r>
      <w:r w:rsidR="00646250" w:rsidRPr="00070A1E">
        <w:rPr>
          <w:rFonts w:ascii="Times New Roman" w:hAnsi="Times New Roman" w:cs="Times New Roman"/>
          <w:sz w:val="24"/>
        </w:rPr>
        <w:t xml:space="preserve"> megnöveked</w:t>
      </w:r>
      <w:r w:rsidRPr="00070A1E">
        <w:rPr>
          <w:rFonts w:ascii="Times New Roman" w:hAnsi="Times New Roman" w:cs="Times New Roman"/>
          <w:sz w:val="24"/>
        </w:rPr>
        <w:t>ik</w:t>
      </w:r>
      <w:r w:rsidR="00646250" w:rsidRPr="00070A1E">
        <w:rPr>
          <w:rFonts w:ascii="Times New Roman" w:hAnsi="Times New Roman" w:cs="Times New Roman"/>
          <w:sz w:val="24"/>
        </w:rPr>
        <w:t xml:space="preserve"> és</w:t>
      </w:r>
      <w:r w:rsidRPr="00070A1E">
        <w:rPr>
          <w:rFonts w:ascii="Times New Roman" w:hAnsi="Times New Roman" w:cs="Times New Roman"/>
          <w:sz w:val="24"/>
        </w:rPr>
        <w:t xml:space="preserve"> újak</w:t>
      </w:r>
      <w:r w:rsidR="00646250" w:rsidRPr="00070A1E">
        <w:rPr>
          <w:rFonts w:ascii="Times New Roman" w:hAnsi="Times New Roman" w:cs="Times New Roman"/>
          <w:sz w:val="24"/>
        </w:rPr>
        <w:t xml:space="preserve"> keletkez</w:t>
      </w:r>
      <w:r w:rsidRPr="00070A1E">
        <w:rPr>
          <w:rFonts w:ascii="Times New Roman" w:hAnsi="Times New Roman" w:cs="Times New Roman"/>
          <w:sz w:val="24"/>
        </w:rPr>
        <w:t>nek.</w:t>
      </w:r>
    </w:p>
    <w:p w:rsidR="00646250" w:rsidRPr="00070A1E" w:rsidRDefault="00BC675C" w:rsidP="00646250">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 xml:space="preserve">Az </w:t>
      </w:r>
      <w:r w:rsidR="00646250" w:rsidRPr="00070A1E">
        <w:rPr>
          <w:rFonts w:ascii="Times New Roman" w:hAnsi="Times New Roman" w:cs="Times New Roman"/>
          <w:sz w:val="24"/>
        </w:rPr>
        <w:t>aggregátumokon belüli pórusok zsugorodása/növekedése</w:t>
      </w:r>
      <w:r w:rsidRPr="00070A1E">
        <w:rPr>
          <w:rFonts w:ascii="Times New Roman" w:hAnsi="Times New Roman" w:cs="Times New Roman"/>
          <w:sz w:val="24"/>
        </w:rPr>
        <w:t>.</w:t>
      </w:r>
    </w:p>
    <w:p w:rsidR="00646250" w:rsidRPr="00070A1E" w:rsidRDefault="00646250" w:rsidP="00646250">
      <w:pPr>
        <w:jc w:val="both"/>
        <w:rPr>
          <w:rFonts w:ascii="Times New Roman" w:hAnsi="Times New Roman" w:cs="Times New Roman"/>
          <w:sz w:val="24"/>
        </w:rPr>
      </w:pPr>
      <w:r w:rsidRPr="00070A1E">
        <w:rPr>
          <w:rFonts w:ascii="Times New Roman" w:hAnsi="Times New Roman" w:cs="Times New Roman"/>
          <w:sz w:val="24"/>
        </w:rPr>
        <w:t>Duzzadás:</w:t>
      </w:r>
    </w:p>
    <w:p w:rsidR="00646250" w:rsidRPr="00070A1E" w:rsidRDefault="00646250" w:rsidP="00646250">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 xml:space="preserve">A makropórusok mérete csökken, </w:t>
      </w:r>
      <w:r w:rsidR="00BC675C" w:rsidRPr="00070A1E">
        <w:rPr>
          <w:rFonts w:ascii="Times New Roman" w:hAnsi="Times New Roman" w:cs="Times New Roman"/>
          <w:sz w:val="24"/>
        </w:rPr>
        <w:t>és bezáródnak.</w:t>
      </w:r>
    </w:p>
    <w:p w:rsidR="00BC675C" w:rsidRPr="00070A1E" w:rsidRDefault="00BC675C" w:rsidP="00646250">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Az aggregátumokon belüli pórusok zsugorodása/növekedése</w:t>
      </w:r>
      <w:r w:rsidR="00094042" w:rsidRPr="00070A1E">
        <w:rPr>
          <w:rFonts w:ascii="Times New Roman" w:hAnsi="Times New Roman" w:cs="Times New Roman"/>
          <w:sz w:val="24"/>
        </w:rPr>
        <w:t>.</w:t>
      </w:r>
    </w:p>
    <w:p w:rsidR="00646250" w:rsidRPr="00070A1E" w:rsidRDefault="00BC675C" w:rsidP="00BC675C">
      <w:pPr>
        <w:jc w:val="both"/>
        <w:rPr>
          <w:rFonts w:ascii="Times New Roman" w:hAnsi="Times New Roman" w:cs="Times New Roman"/>
          <w:sz w:val="24"/>
        </w:rPr>
      </w:pPr>
      <w:r w:rsidRPr="00070A1E">
        <w:rPr>
          <w:rFonts w:ascii="Times New Roman" w:hAnsi="Times New Roman" w:cs="Times New Roman"/>
          <w:sz w:val="24"/>
        </w:rPr>
        <w:t>Mechanikai összenyomás:</w:t>
      </w:r>
    </w:p>
    <w:p w:rsidR="00BC675C" w:rsidRPr="00070A1E" w:rsidRDefault="00BC675C" w:rsidP="00BC675C">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A makropórusok mérete csökken, és bezáródnak.</w:t>
      </w:r>
    </w:p>
    <w:p w:rsidR="00BC675C" w:rsidRPr="00070A1E" w:rsidRDefault="00BC675C" w:rsidP="00BC675C">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Aggregártumok széttördelődése, ami csökkenti az aggregátumon belüli pórusok számát, melyek általában kis pórusméretűek. Ezáltal csökken a kis pórusok aránya.</w:t>
      </w:r>
    </w:p>
    <w:p w:rsidR="00094042" w:rsidRPr="00070A1E" w:rsidRDefault="00094042" w:rsidP="00094042">
      <w:pPr>
        <w:jc w:val="both"/>
        <w:rPr>
          <w:rFonts w:ascii="Times New Roman" w:hAnsi="Times New Roman" w:cs="Times New Roman"/>
          <w:sz w:val="24"/>
        </w:rPr>
      </w:pPr>
    </w:p>
    <w:p w:rsidR="00BC675C" w:rsidRPr="00070A1E" w:rsidRDefault="00BC675C" w:rsidP="00BC675C">
      <w:pPr>
        <w:jc w:val="both"/>
        <w:rPr>
          <w:rFonts w:ascii="Times New Roman" w:hAnsi="Times New Roman" w:cs="Times New Roman"/>
          <w:sz w:val="24"/>
        </w:rPr>
      </w:pPr>
      <w:r w:rsidRPr="00070A1E">
        <w:rPr>
          <w:rFonts w:ascii="Times New Roman" w:hAnsi="Times New Roman" w:cs="Times New Roman"/>
          <w:sz w:val="24"/>
        </w:rPr>
        <w:t>Ásás, szántás:</w:t>
      </w:r>
    </w:p>
    <w:p w:rsidR="00BC675C" w:rsidRPr="00070A1E" w:rsidRDefault="00BC675C" w:rsidP="00BC675C">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Makropórusok megsemmisülése és az aggregátumok széttördelődése.</w:t>
      </w:r>
    </w:p>
    <w:p w:rsidR="00BC675C" w:rsidRPr="00070A1E" w:rsidRDefault="00BC675C" w:rsidP="00BC675C">
      <w:pPr>
        <w:jc w:val="both"/>
        <w:rPr>
          <w:rFonts w:ascii="Times New Roman" w:hAnsi="Times New Roman" w:cs="Times New Roman"/>
          <w:sz w:val="24"/>
        </w:rPr>
      </w:pPr>
      <w:r w:rsidRPr="00070A1E">
        <w:rPr>
          <w:rFonts w:ascii="Times New Roman" w:hAnsi="Times New Roman" w:cs="Times New Roman"/>
          <w:sz w:val="24"/>
        </w:rPr>
        <w:lastRenderedPageBreak/>
        <w:t>Biológiai aktivitás (növények, állatok):</w:t>
      </w:r>
    </w:p>
    <w:p w:rsidR="00BC675C" w:rsidRPr="00070A1E" w:rsidRDefault="00BC675C" w:rsidP="00BC675C">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Makropórusok méretének növekedése és keletkezése (pl. hangyák mozgása).</w:t>
      </w:r>
    </w:p>
    <w:p w:rsidR="00BC675C" w:rsidRPr="00070A1E" w:rsidRDefault="00BC675C" w:rsidP="00BC675C">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Makropórusok méretének csökkenése</w:t>
      </w:r>
      <w:r w:rsidR="00094042" w:rsidRPr="00070A1E">
        <w:rPr>
          <w:rFonts w:ascii="Times New Roman" w:hAnsi="Times New Roman" w:cs="Times New Roman"/>
          <w:sz w:val="24"/>
        </w:rPr>
        <w:t xml:space="preserve">, </w:t>
      </w:r>
      <w:proofErr w:type="spellStart"/>
      <w:r w:rsidR="00094042" w:rsidRPr="00070A1E">
        <w:rPr>
          <w:rFonts w:ascii="Times New Roman" w:hAnsi="Times New Roman" w:cs="Times New Roman"/>
          <w:sz w:val="24"/>
        </w:rPr>
        <w:t>mikrorepedések</w:t>
      </w:r>
      <w:proofErr w:type="spellEnd"/>
      <w:r w:rsidR="00094042" w:rsidRPr="00070A1E">
        <w:rPr>
          <w:rFonts w:ascii="Times New Roman" w:hAnsi="Times New Roman" w:cs="Times New Roman"/>
          <w:sz w:val="24"/>
        </w:rPr>
        <w:t xml:space="preserve"> keletkezése</w:t>
      </w:r>
      <w:r w:rsidRPr="00070A1E">
        <w:rPr>
          <w:rFonts w:ascii="Times New Roman" w:hAnsi="Times New Roman" w:cs="Times New Roman"/>
          <w:sz w:val="24"/>
        </w:rPr>
        <w:t xml:space="preserve"> (pl</w:t>
      </w:r>
      <w:r w:rsidR="00094042" w:rsidRPr="00070A1E">
        <w:rPr>
          <w:rFonts w:ascii="Times New Roman" w:hAnsi="Times New Roman" w:cs="Times New Roman"/>
          <w:sz w:val="24"/>
        </w:rPr>
        <w:t>. gyökerek nyomó hatása).</w:t>
      </w:r>
    </w:p>
    <w:p w:rsidR="00BC675C" w:rsidRPr="00070A1E" w:rsidRDefault="00BC675C" w:rsidP="00BC675C">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Aggregáció elősegítése, ami által az aggregátumon belüli pórusok aránya megnő (kis pórusok aránya nő).</w:t>
      </w:r>
    </w:p>
    <w:p w:rsidR="00BC675C" w:rsidRPr="00070A1E" w:rsidRDefault="00BC675C" w:rsidP="00BC675C">
      <w:pPr>
        <w:jc w:val="both"/>
        <w:rPr>
          <w:rFonts w:ascii="Times New Roman" w:hAnsi="Times New Roman" w:cs="Times New Roman"/>
          <w:sz w:val="24"/>
        </w:rPr>
      </w:pPr>
      <w:r w:rsidRPr="00070A1E">
        <w:rPr>
          <w:rFonts w:ascii="Times New Roman" w:hAnsi="Times New Roman" w:cs="Times New Roman"/>
          <w:sz w:val="24"/>
        </w:rPr>
        <w:t>Kémiai folyamatok:</w:t>
      </w:r>
    </w:p>
    <w:p w:rsidR="00BC675C" w:rsidRPr="00070A1E" w:rsidRDefault="006678B5" w:rsidP="00BC675C">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Pórusok elgátolódása (pl. mikroorganizmusok növekedése, precipitáció útján).</w:t>
      </w:r>
    </w:p>
    <w:p w:rsidR="006678B5" w:rsidRPr="00070A1E" w:rsidRDefault="006678B5" w:rsidP="00BC675C">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Pórusok nö</w:t>
      </w:r>
      <w:r w:rsidR="00094042" w:rsidRPr="00070A1E">
        <w:rPr>
          <w:rFonts w:ascii="Times New Roman" w:hAnsi="Times New Roman" w:cs="Times New Roman"/>
          <w:sz w:val="24"/>
        </w:rPr>
        <w:t xml:space="preserve">vekedése a kiválások megszűnésének </w:t>
      </w:r>
      <w:proofErr w:type="spellStart"/>
      <w:r w:rsidR="00094042" w:rsidRPr="00070A1E">
        <w:rPr>
          <w:rFonts w:ascii="Times New Roman" w:hAnsi="Times New Roman" w:cs="Times New Roman"/>
          <w:sz w:val="24"/>
        </w:rPr>
        <w:t>redményeként</w:t>
      </w:r>
      <w:proofErr w:type="spellEnd"/>
      <w:r w:rsidRPr="00070A1E">
        <w:rPr>
          <w:rFonts w:ascii="Times New Roman" w:hAnsi="Times New Roman" w:cs="Times New Roman"/>
          <w:sz w:val="24"/>
        </w:rPr>
        <w:t>.</w:t>
      </w:r>
    </w:p>
    <w:p w:rsidR="006678B5" w:rsidRPr="00070A1E" w:rsidRDefault="006678B5" w:rsidP="006678B5">
      <w:pPr>
        <w:pStyle w:val="Listaszerbekezds"/>
        <w:numPr>
          <w:ilvl w:val="0"/>
          <w:numId w:val="9"/>
        </w:numPr>
        <w:jc w:val="both"/>
        <w:rPr>
          <w:rFonts w:ascii="Times New Roman" w:hAnsi="Times New Roman" w:cs="Times New Roman"/>
          <w:sz w:val="24"/>
        </w:rPr>
      </w:pPr>
      <w:r w:rsidRPr="00070A1E">
        <w:rPr>
          <w:rFonts w:ascii="Times New Roman" w:hAnsi="Times New Roman" w:cs="Times New Roman"/>
          <w:sz w:val="24"/>
        </w:rPr>
        <w:t xml:space="preserve">Részecskék közötti kölcsönhatások komplex módosítása. </w:t>
      </w:r>
    </w:p>
    <w:p w:rsidR="002C1A14" w:rsidRPr="00070A1E" w:rsidRDefault="001E0539" w:rsidP="002C1A14">
      <w:pPr>
        <w:jc w:val="both"/>
        <w:rPr>
          <w:rFonts w:ascii="Times New Roman" w:hAnsi="Times New Roman" w:cs="Times New Roman"/>
          <w:sz w:val="24"/>
        </w:rPr>
      </w:pPr>
      <w:r w:rsidRPr="00070A1E">
        <w:rPr>
          <w:rFonts w:ascii="Times New Roman" w:hAnsi="Times New Roman" w:cs="Times New Roman"/>
          <w:sz w:val="24"/>
        </w:rPr>
        <w:fldChar w:fldCharType="begin" w:fldLock="1"/>
      </w:r>
      <w:r w:rsidR="005A166B" w:rsidRPr="00070A1E">
        <w:rPr>
          <w:rFonts w:ascii="Times New Roman"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Pr="00070A1E">
        <w:rPr>
          <w:rFonts w:ascii="Times New Roman" w:hAnsi="Times New Roman" w:cs="Times New Roman"/>
          <w:sz w:val="24"/>
        </w:rPr>
        <w:fldChar w:fldCharType="separate"/>
      </w:r>
      <w:r w:rsidR="002C1A14" w:rsidRPr="00070A1E">
        <w:rPr>
          <w:rFonts w:ascii="Times New Roman" w:hAnsi="Times New Roman" w:cs="Times New Roman"/>
          <w:noProof/>
          <w:sz w:val="24"/>
        </w:rPr>
        <w:t>[3]</w:t>
      </w:r>
      <w:r w:rsidRPr="00070A1E">
        <w:rPr>
          <w:rFonts w:ascii="Times New Roman" w:hAnsi="Times New Roman" w:cs="Times New Roman"/>
          <w:sz w:val="24"/>
        </w:rPr>
        <w:fldChar w:fldCharType="end"/>
      </w:r>
    </w:p>
    <w:p w:rsidR="00646250" w:rsidRPr="00070A1E" w:rsidRDefault="00D55B9F" w:rsidP="006678B5">
      <w:pPr>
        <w:ind w:firstLine="426"/>
        <w:jc w:val="both"/>
        <w:rPr>
          <w:rFonts w:ascii="Times New Roman" w:hAnsi="Times New Roman" w:cs="Times New Roman"/>
          <w:sz w:val="24"/>
        </w:rPr>
      </w:pPr>
      <w:r w:rsidRPr="00070A1E">
        <w:rPr>
          <w:rFonts w:ascii="Times New Roman" w:hAnsi="Times New Roman" w:cs="Times New Roman"/>
          <w:sz w:val="24"/>
        </w:rPr>
        <w:t xml:space="preserve">A 2. ábrán látható a talaj pórusainak egy egyszerű, funkció szerinti csoportosítása. Látható, hogy a legnagyobb, 50 </w:t>
      </w:r>
      <w:proofErr w:type="spellStart"/>
      <w:r w:rsidRPr="00070A1E">
        <w:rPr>
          <w:rFonts w:ascii="Times New Roman" w:hAnsi="Times New Roman" w:cs="Times New Roman"/>
          <w:sz w:val="24"/>
        </w:rPr>
        <w:t>µm</w:t>
      </w:r>
      <w:proofErr w:type="spellEnd"/>
      <w:r w:rsidRPr="00070A1E">
        <w:rPr>
          <w:rFonts w:ascii="Times New Roman" w:hAnsi="Times New Roman" w:cs="Times New Roman"/>
          <w:sz w:val="24"/>
        </w:rPr>
        <w:t xml:space="preserve"> feletti pórusok a levegő áramlását, és a telített talajból a felesleges víz elvezetését teszik lehetővé</w:t>
      </w:r>
      <w:r w:rsidR="00B13D08" w:rsidRPr="00070A1E">
        <w:rPr>
          <w:rFonts w:ascii="Times New Roman" w:hAnsi="Times New Roman" w:cs="Times New Roman"/>
          <w:sz w:val="24"/>
        </w:rPr>
        <w:t xml:space="preserve">. A növények számára szükséges vizet az ún. </w:t>
      </w:r>
      <w:proofErr w:type="gramStart"/>
      <w:r w:rsidR="00B13D08" w:rsidRPr="00070A1E">
        <w:rPr>
          <w:rFonts w:ascii="Times New Roman" w:hAnsi="Times New Roman" w:cs="Times New Roman"/>
          <w:sz w:val="24"/>
        </w:rPr>
        <w:t>tároló</w:t>
      </w:r>
      <w:proofErr w:type="gramEnd"/>
      <w:r w:rsidR="00B13D08" w:rsidRPr="00070A1E">
        <w:rPr>
          <w:rFonts w:ascii="Times New Roman" w:hAnsi="Times New Roman" w:cs="Times New Roman"/>
          <w:sz w:val="24"/>
        </w:rPr>
        <w:t xml:space="preserve"> pórusok biztosítják, melyek a 0,5-50 </w:t>
      </w:r>
      <w:proofErr w:type="spellStart"/>
      <w:r w:rsidR="00B13D08" w:rsidRPr="00070A1E">
        <w:rPr>
          <w:rFonts w:ascii="Times New Roman" w:hAnsi="Times New Roman" w:cs="Times New Roman"/>
          <w:sz w:val="24"/>
        </w:rPr>
        <w:t>µm-es</w:t>
      </w:r>
      <w:proofErr w:type="spellEnd"/>
      <w:r w:rsidR="00B13D08" w:rsidRPr="00070A1E">
        <w:rPr>
          <w:rFonts w:ascii="Times New Roman" w:hAnsi="Times New Roman" w:cs="Times New Roman"/>
          <w:sz w:val="24"/>
        </w:rPr>
        <w:t xml:space="preserve"> átmérőjű pórusok. Az ennél kisebb pórusok alapvetően az iontranszportban játszanak szerepet.</w:t>
      </w:r>
      <w:r w:rsidR="00F82D03" w:rsidRPr="00070A1E">
        <w:rPr>
          <w:rFonts w:ascii="Times New Roman" w:hAnsi="Times New Roman" w:cs="Times New Roman"/>
          <w:sz w:val="24"/>
        </w:rPr>
        <w:t xml:space="preserve"> </w:t>
      </w:r>
    </w:p>
    <w:p w:rsidR="00646250" w:rsidRPr="00677810" w:rsidRDefault="00646250" w:rsidP="00677810">
      <w:pPr>
        <w:pStyle w:val="Kpalrs"/>
        <w:jc w:val="center"/>
        <w:rPr>
          <w:rFonts w:ascii="Times New Roman" w:hAnsi="Times New Roman" w:cs="Times New Roman"/>
          <w:color w:val="auto"/>
          <w:sz w:val="22"/>
        </w:rPr>
      </w:pPr>
    </w:p>
    <w:p w:rsidR="007F2EB9" w:rsidRPr="00677810" w:rsidRDefault="001E0539" w:rsidP="00677810">
      <w:pPr>
        <w:pStyle w:val="Kpalrs"/>
        <w:jc w:val="center"/>
        <w:rPr>
          <w:rFonts w:ascii="Times New Roman" w:hAnsi="Times New Roman" w:cs="Times New Roman"/>
          <w:color w:val="auto"/>
          <w:sz w:val="22"/>
        </w:rPr>
      </w:pPr>
      <w:r w:rsidRPr="00677810">
        <w:rPr>
          <w:rFonts w:ascii="Times New Roman" w:hAnsi="Times New Roman" w:cs="Times New Roman"/>
          <w:color w:val="auto"/>
          <w:sz w:val="22"/>
        </w:rPr>
        <w:fldChar w:fldCharType="begin"/>
      </w:r>
      <w:r w:rsidR="007F2EB9" w:rsidRPr="00677810">
        <w:rPr>
          <w:rFonts w:ascii="Times New Roman" w:hAnsi="Times New Roman" w:cs="Times New Roman"/>
          <w:color w:val="auto"/>
          <w:sz w:val="22"/>
        </w:rPr>
        <w:instrText xml:space="preserve"> SEQ táblázat \* ARABIC </w:instrText>
      </w:r>
      <w:r w:rsidRPr="00677810">
        <w:rPr>
          <w:rFonts w:ascii="Times New Roman" w:hAnsi="Times New Roman" w:cs="Times New Roman"/>
          <w:color w:val="auto"/>
          <w:sz w:val="22"/>
        </w:rPr>
        <w:fldChar w:fldCharType="separate"/>
      </w:r>
      <w:proofErr w:type="gramStart"/>
      <w:r w:rsidR="007F2EB9" w:rsidRPr="00677810">
        <w:rPr>
          <w:rFonts w:ascii="Times New Roman" w:hAnsi="Times New Roman" w:cs="Times New Roman"/>
          <w:color w:val="auto"/>
          <w:sz w:val="22"/>
        </w:rPr>
        <w:t>1</w:t>
      </w:r>
      <w:r w:rsidRPr="00677810">
        <w:rPr>
          <w:rFonts w:ascii="Times New Roman" w:hAnsi="Times New Roman" w:cs="Times New Roman"/>
          <w:color w:val="auto"/>
          <w:sz w:val="22"/>
        </w:rPr>
        <w:fldChar w:fldCharType="end"/>
      </w:r>
      <w:r w:rsidR="007F2EB9" w:rsidRPr="00677810">
        <w:rPr>
          <w:rFonts w:ascii="Times New Roman" w:hAnsi="Times New Roman" w:cs="Times New Roman"/>
          <w:color w:val="auto"/>
          <w:sz w:val="22"/>
        </w:rPr>
        <w:t>. táblázat: A talaj pórusainak funkcionális csoportosítása</w:t>
      </w:r>
      <w:proofErr w:type="gramEnd"/>
      <w:r w:rsidR="007F2EB9" w:rsidRPr="00677810">
        <w:rPr>
          <w:rFonts w:ascii="Times New Roman" w:hAnsi="Times New Roman" w:cs="Times New Roman"/>
          <w:color w:val="auto"/>
          <w:sz w:val="22"/>
        </w:rPr>
        <w:t xml:space="preserve"> </w:t>
      </w:r>
      <w:r w:rsidRPr="00677810">
        <w:rPr>
          <w:rFonts w:ascii="Times New Roman" w:hAnsi="Times New Roman" w:cs="Times New Roman"/>
          <w:color w:val="auto"/>
          <w:sz w:val="22"/>
        </w:rPr>
        <w:fldChar w:fldCharType="begin" w:fldLock="1"/>
      </w:r>
      <w:r w:rsidR="007F2EB9" w:rsidRPr="00677810">
        <w:rPr>
          <w:rFonts w:ascii="Times New Roman" w:hAnsi="Times New Roman" w:cs="Times New Roman"/>
          <w:color w:val="auto"/>
          <w:sz w:val="22"/>
        </w:rPr>
        <w:instrText>ADDIN CSL_CITATION {"citationItems":[{"id":"ITEM-1","itemData":{"DOI":"10.1007/978-3-642-61147-6","ISBN":"978-3-642-64716-1","abstract":"The soil is the medium through which pollutants originating from human activities, both in agriculture and industry, move from the land surfaces to groundwater. Polluting substances are subject to complex physical, chemical and biological transformations during their movement through the soil. Their displacement depends on the transport properties of the water-air-soil system and on the molecular properties of the pollutants. Prediction of soil pollution and restoration of polluted soils requires an under­ standing of the processes controlling the fate of pollutants in the soil medium and of the dynamics of the contaminants in the un­ saturated zone. Our book was conceived· as a basic overview of the processes governing the behavior of pollutants as affected by soil constituents and environmental factors. It was written for the use of specialists working on soil and unsaturated zone pollution and restoration, as well as for graduate students starting research in this field. Since many specialists working on soil restoration lack a back­ ground in soil science or a knowledge of the properties of soil pollutants, we have included this information which forms the first part of the book. In the second part, we discuss the partitioning of pollutants between the aqueous, solid and gaseous phase of the soil medium. The retention, transformation and transport of pollutants in the soils form the third section.","author":[{"dropping-particle":"","family":"Yaron","given":"Bruno","non-dropping-particle":"","parse-names":false,"suffix":""},{"dropping-particle":"","family":"Calvet","given":"Raoul","non-dropping-particle":"","parse-names":false,"suffix":""},{"dropping-particle":"","family":"Prost","given":"René","non-dropping-particle":"","parse-names":false,"suffix":""}],"id":"ITEM-1","issued":{"date-parts":[["1996"]]},"number-of-pages":"313","publisher":"Springer Berlin Heidelberg","publisher-place":"Berlin, Heidelberg","title":"Soil Pollution","type":"book"},"uris":["http://www.mendeley.com/documents/?uuid=eb0d64f1-53c3-4d43-87d1-29f6c813ee56"]}],"mendeley":{"formattedCitation":"[2]","plainTextFormattedCitation":"[2]","previouslyFormattedCitation":"[2]"},"properties":{"noteIndex":0},"schema":"https://github.com/citation-style-language/schema/raw/master/csl-citation.json"}</w:instrText>
      </w:r>
      <w:r w:rsidRPr="00677810">
        <w:rPr>
          <w:rFonts w:ascii="Times New Roman" w:hAnsi="Times New Roman" w:cs="Times New Roman"/>
          <w:color w:val="auto"/>
          <w:sz w:val="22"/>
        </w:rPr>
        <w:fldChar w:fldCharType="separate"/>
      </w:r>
      <w:r w:rsidR="007F2EB9" w:rsidRPr="00677810">
        <w:rPr>
          <w:rFonts w:ascii="Times New Roman" w:hAnsi="Times New Roman" w:cs="Times New Roman"/>
          <w:noProof/>
          <w:color w:val="auto"/>
          <w:sz w:val="22"/>
        </w:rPr>
        <w:t>[2]</w:t>
      </w:r>
      <w:r w:rsidRPr="00677810">
        <w:rPr>
          <w:rFonts w:ascii="Times New Roman" w:hAnsi="Times New Roman" w:cs="Times New Roman"/>
          <w:color w:val="auto"/>
          <w:sz w:val="22"/>
        </w:rPr>
        <w:fldChar w:fldCharType="end"/>
      </w:r>
    </w:p>
    <w:p w:rsidR="006678B5" w:rsidRPr="00070A1E" w:rsidRDefault="00646250" w:rsidP="007F2EB9">
      <w:pPr>
        <w:keepNext/>
        <w:jc w:val="both"/>
        <w:rPr>
          <w:rFonts w:ascii="Times New Roman" w:hAnsi="Times New Roman" w:cs="Times New Roman"/>
        </w:rPr>
      </w:pPr>
      <w:r w:rsidRPr="00070A1E">
        <w:rPr>
          <w:rFonts w:ascii="Times New Roman" w:hAnsi="Times New Roman" w:cs="Times New Roman"/>
          <w:noProof/>
          <w:sz w:val="24"/>
          <w:lang w:eastAsia="hu-HU"/>
        </w:rPr>
        <w:drawing>
          <wp:inline distT="0" distB="0" distL="0" distR="0">
            <wp:extent cx="5760720" cy="2366002"/>
            <wp:effectExtent l="19050" t="0" r="0" b="0"/>
            <wp:docPr id="5"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 cstate="print"/>
                    <a:srcRect/>
                    <a:stretch>
                      <a:fillRect/>
                    </a:stretch>
                  </pic:blipFill>
                  <pic:spPr bwMode="auto">
                    <a:xfrm>
                      <a:off x="0" y="0"/>
                      <a:ext cx="5760720" cy="2366002"/>
                    </a:xfrm>
                    <a:prstGeom prst="rect">
                      <a:avLst/>
                    </a:prstGeom>
                    <a:noFill/>
                    <a:ln w="9525">
                      <a:noFill/>
                      <a:miter lim="800000"/>
                      <a:headEnd/>
                      <a:tailEnd/>
                    </a:ln>
                  </pic:spPr>
                </pic:pic>
              </a:graphicData>
            </a:graphic>
          </wp:inline>
        </w:drawing>
      </w:r>
    </w:p>
    <w:p w:rsidR="007F2EB9" w:rsidRPr="00070A1E" w:rsidRDefault="007F2EB9" w:rsidP="007F2EB9">
      <w:pPr>
        <w:keepNext/>
        <w:jc w:val="both"/>
        <w:rPr>
          <w:rFonts w:ascii="Times New Roman" w:hAnsi="Times New Roman" w:cs="Times New Roman"/>
        </w:rPr>
      </w:pPr>
    </w:p>
    <w:p w:rsidR="007F2EB9" w:rsidRPr="00070A1E" w:rsidRDefault="007F2EB9" w:rsidP="00F94AD6">
      <w:pPr>
        <w:ind w:firstLine="426"/>
        <w:rPr>
          <w:rFonts w:ascii="Times New Roman" w:hAnsi="Times New Roman" w:cs="Times New Roman"/>
          <w:sz w:val="24"/>
        </w:rPr>
      </w:pPr>
    </w:p>
    <w:p w:rsidR="006678B5" w:rsidRPr="00070A1E" w:rsidRDefault="00F94AD6" w:rsidP="007F2EB9">
      <w:pPr>
        <w:ind w:firstLine="426"/>
        <w:jc w:val="both"/>
        <w:rPr>
          <w:rFonts w:ascii="Times New Roman" w:hAnsi="Times New Roman" w:cs="Times New Roman"/>
          <w:sz w:val="24"/>
        </w:rPr>
      </w:pPr>
      <w:r w:rsidRPr="00070A1E">
        <w:rPr>
          <w:rFonts w:ascii="Times New Roman" w:hAnsi="Times New Roman" w:cs="Times New Roman"/>
          <w:sz w:val="24"/>
        </w:rPr>
        <w:t xml:space="preserve">A különböző talajok közül a porozitás szempontból leginkább vizsgálat típusok a különböző agyagos talajok. Ezek porozitását két részre osztja a szakirodalom: </w:t>
      </w:r>
      <w:proofErr w:type="spellStart"/>
      <w:r w:rsidRPr="00070A1E">
        <w:rPr>
          <w:rFonts w:ascii="Times New Roman" w:hAnsi="Times New Roman" w:cs="Times New Roman"/>
          <w:sz w:val="24"/>
        </w:rPr>
        <w:t>textúrális</w:t>
      </w:r>
      <w:proofErr w:type="spellEnd"/>
      <w:r w:rsidRPr="00070A1E">
        <w:rPr>
          <w:rFonts w:ascii="Times New Roman" w:hAnsi="Times New Roman" w:cs="Times New Roman"/>
          <w:sz w:val="24"/>
        </w:rPr>
        <w:t xml:space="preserve"> (egyedi részecskék közötti rések, illetve aggregátumokon belüli pórusok) és </w:t>
      </w:r>
      <w:r w:rsidR="00C12848" w:rsidRPr="00070A1E">
        <w:rPr>
          <w:rFonts w:ascii="Times New Roman" w:hAnsi="Times New Roman" w:cs="Times New Roman"/>
          <w:sz w:val="24"/>
        </w:rPr>
        <w:t>szerkezeti</w:t>
      </w:r>
      <w:r w:rsidRPr="00070A1E">
        <w:rPr>
          <w:rFonts w:ascii="Times New Roman" w:hAnsi="Times New Roman" w:cs="Times New Roman"/>
          <w:sz w:val="24"/>
        </w:rPr>
        <w:t xml:space="preserve"> </w:t>
      </w:r>
      <w:r w:rsidR="007F2EB9" w:rsidRPr="00070A1E">
        <w:rPr>
          <w:rFonts w:ascii="Times New Roman" w:hAnsi="Times New Roman" w:cs="Times New Roman"/>
          <w:sz w:val="24"/>
        </w:rPr>
        <w:t>(aggregátumok</w:t>
      </w:r>
      <w:r w:rsidRPr="00070A1E">
        <w:rPr>
          <w:rFonts w:ascii="Times New Roman" w:hAnsi="Times New Roman" w:cs="Times New Roman"/>
          <w:sz w:val="24"/>
        </w:rPr>
        <w:t xml:space="preserve"> közötti) porozitásra. Agyagásványokban széles mérettartományban találhatóak pórusok</w:t>
      </w:r>
      <w:r w:rsidR="007F2EB9" w:rsidRPr="00070A1E">
        <w:rPr>
          <w:rFonts w:ascii="Times New Roman" w:hAnsi="Times New Roman" w:cs="Times New Roman"/>
          <w:sz w:val="24"/>
        </w:rPr>
        <w:t>, ezek fajtái a 2. táblázatban láthatóak</w:t>
      </w:r>
      <w:r w:rsidRPr="00070A1E">
        <w:rPr>
          <w:rFonts w:ascii="Times New Roman" w:hAnsi="Times New Roman" w:cs="Times New Roman"/>
          <w:sz w:val="24"/>
        </w:rPr>
        <w:t>:</w:t>
      </w:r>
    </w:p>
    <w:p w:rsidR="00C12848" w:rsidRPr="00677810" w:rsidRDefault="001E0539" w:rsidP="00677810">
      <w:pPr>
        <w:pStyle w:val="Kpalrs"/>
        <w:jc w:val="center"/>
        <w:rPr>
          <w:rFonts w:ascii="Times New Roman" w:hAnsi="Times New Roman" w:cs="Times New Roman"/>
          <w:color w:val="auto"/>
          <w:sz w:val="22"/>
        </w:rPr>
      </w:pPr>
      <w:r w:rsidRPr="00677810">
        <w:rPr>
          <w:rFonts w:ascii="Times New Roman" w:hAnsi="Times New Roman" w:cs="Times New Roman"/>
          <w:color w:val="auto"/>
          <w:sz w:val="22"/>
        </w:rPr>
        <w:lastRenderedPageBreak/>
        <w:fldChar w:fldCharType="begin"/>
      </w:r>
      <w:r w:rsidR="00EF6BB4" w:rsidRPr="00677810">
        <w:rPr>
          <w:rFonts w:ascii="Times New Roman" w:hAnsi="Times New Roman" w:cs="Times New Roman"/>
          <w:color w:val="auto"/>
          <w:sz w:val="22"/>
        </w:rPr>
        <w:instrText xml:space="preserve"> SEQ táblázat \* ARABIC </w:instrText>
      </w:r>
      <w:r w:rsidRPr="00677810">
        <w:rPr>
          <w:rFonts w:ascii="Times New Roman" w:hAnsi="Times New Roman" w:cs="Times New Roman"/>
          <w:color w:val="auto"/>
          <w:sz w:val="22"/>
        </w:rPr>
        <w:fldChar w:fldCharType="separate"/>
      </w:r>
      <w:r w:rsidR="007F2EB9" w:rsidRPr="00677810">
        <w:rPr>
          <w:rFonts w:ascii="Times New Roman" w:hAnsi="Times New Roman" w:cs="Times New Roman"/>
          <w:color w:val="auto"/>
          <w:sz w:val="22"/>
        </w:rPr>
        <w:t>2</w:t>
      </w:r>
      <w:r w:rsidRPr="00677810">
        <w:rPr>
          <w:rFonts w:ascii="Times New Roman" w:hAnsi="Times New Roman" w:cs="Times New Roman"/>
          <w:color w:val="auto"/>
          <w:sz w:val="22"/>
        </w:rPr>
        <w:fldChar w:fldCharType="end"/>
      </w:r>
      <w:r w:rsidR="00C12848" w:rsidRPr="00677810">
        <w:rPr>
          <w:rFonts w:ascii="Times New Roman" w:hAnsi="Times New Roman" w:cs="Times New Roman"/>
          <w:color w:val="auto"/>
          <w:sz w:val="22"/>
        </w:rPr>
        <w:t xml:space="preserve">. táblázat: Pórusok </w:t>
      </w:r>
      <w:r w:rsidR="008B4555" w:rsidRPr="00677810">
        <w:rPr>
          <w:rFonts w:ascii="Times New Roman" w:hAnsi="Times New Roman" w:cs="Times New Roman"/>
          <w:color w:val="auto"/>
          <w:sz w:val="22"/>
        </w:rPr>
        <w:t>agyagos talajokban</w:t>
      </w:r>
      <w:r w:rsidR="00C12848" w:rsidRPr="00677810">
        <w:rPr>
          <w:rFonts w:ascii="Times New Roman" w:hAnsi="Times New Roman" w:cs="Times New Roman"/>
          <w:color w:val="auto"/>
          <w:sz w:val="22"/>
        </w:rPr>
        <w:t xml:space="preserve">, </w:t>
      </w:r>
      <w:proofErr w:type="spellStart"/>
      <w:r w:rsidR="00C12848" w:rsidRPr="00677810">
        <w:rPr>
          <w:rFonts w:ascii="Times New Roman" w:hAnsi="Times New Roman" w:cs="Times New Roman"/>
          <w:color w:val="auto"/>
          <w:sz w:val="22"/>
        </w:rPr>
        <w:t>Zaffar</w:t>
      </w:r>
      <w:proofErr w:type="spellEnd"/>
      <w:r w:rsidR="00C12848" w:rsidRPr="00677810">
        <w:rPr>
          <w:rFonts w:ascii="Times New Roman" w:hAnsi="Times New Roman" w:cs="Times New Roman"/>
          <w:color w:val="auto"/>
          <w:sz w:val="22"/>
        </w:rPr>
        <w:t xml:space="preserve"> </w:t>
      </w:r>
      <w:proofErr w:type="gramStart"/>
      <w:r w:rsidR="00C12848" w:rsidRPr="00677810">
        <w:rPr>
          <w:rFonts w:ascii="Times New Roman" w:hAnsi="Times New Roman" w:cs="Times New Roman"/>
          <w:color w:val="auto"/>
          <w:sz w:val="22"/>
        </w:rPr>
        <w:t xml:space="preserve">et  </w:t>
      </w:r>
      <w:proofErr w:type="spellStart"/>
      <w:r w:rsidR="00C12848" w:rsidRPr="00677810">
        <w:rPr>
          <w:rFonts w:ascii="Times New Roman" w:hAnsi="Times New Roman" w:cs="Times New Roman"/>
          <w:color w:val="auto"/>
          <w:sz w:val="22"/>
        </w:rPr>
        <w:t>al</w:t>
      </w:r>
      <w:proofErr w:type="spellEnd"/>
      <w:proofErr w:type="gramEnd"/>
      <w:r w:rsidR="00C12848" w:rsidRPr="00677810">
        <w:rPr>
          <w:rFonts w:ascii="Times New Roman" w:hAnsi="Times New Roman" w:cs="Times New Roman"/>
          <w:color w:val="auto"/>
          <w:sz w:val="22"/>
        </w:rPr>
        <w:t xml:space="preserve">. </w:t>
      </w:r>
      <w:proofErr w:type="gramStart"/>
      <w:r w:rsidR="00C12848" w:rsidRPr="00677810">
        <w:rPr>
          <w:rFonts w:ascii="Times New Roman" w:hAnsi="Times New Roman" w:cs="Times New Roman"/>
          <w:color w:val="auto"/>
          <w:sz w:val="22"/>
        </w:rPr>
        <w:t>2015 alapján</w:t>
      </w:r>
      <w:proofErr w:type="gramEnd"/>
      <w:r w:rsidR="00C12848" w:rsidRPr="00677810">
        <w:rPr>
          <w:rFonts w:ascii="Times New Roman" w:hAnsi="Times New Roman" w:cs="Times New Roman"/>
          <w:color w:val="auto"/>
          <w:sz w:val="22"/>
        </w:rPr>
        <w:t xml:space="preserve"> </w:t>
      </w:r>
      <w:r w:rsidRPr="00677810">
        <w:rPr>
          <w:rFonts w:ascii="Times New Roman" w:hAnsi="Times New Roman" w:cs="Times New Roman"/>
          <w:color w:val="auto"/>
          <w:sz w:val="22"/>
        </w:rPr>
        <w:fldChar w:fldCharType="begin" w:fldLock="1"/>
      </w:r>
      <w:r w:rsidR="00BD3E87" w:rsidRPr="00677810">
        <w:rPr>
          <w:rFonts w:ascii="Times New Roman" w:hAnsi="Times New Roman" w:cs="Times New Roman"/>
          <w:color w:val="auto"/>
          <w:sz w:val="22"/>
        </w:rPr>
        <w:instrText>ADDIN CSL_CITATION {"citationItems":[{"id":"ITEM-1","itemData":{"DOI":"10.1016/S1002-0160(15)60009-1","ISSN":"10020160","abstract":"Soil pore size distribution (PSD) directly influences soil physical, chemical, and biological properties, and further knowledge of soil PSD is very helpful for understanding soil functions and processes. In this study, PSD of three clayey soils collected from the topsoil (0-20 cm) of Vertisols in Northern China was analyzed using the N2 adsorption (NA) and mercury intrusion porosimetry (MIP) methods. The effect of soil organic matter (SOM) on the PSD of clayey soils was also evaluated. The differential curves of pore volume of clayey soils by the NA method exhibited that the pores with diameter &lt; 0.01 μm accounted for more than 50% in the pore size range of 0.001 to 0.1 μm. The differential pore curves of clayey soils by the MIP method exhibited three distinct peaks in pore size range of 60 to 100, 0.3 to 0.4 and 0.009 to 0.012 μm, respectively. In the three clayey soils, the ultramicropores (5-0.1 μm) were determined to be the main pore class (on average 35.5%), followed by macropores (&gt; 75 μm, 31.4%), cryptopores (0.1-0.007 μm, 16.0%), micropores (30-5 μm, 9.7%) and mesopores (75-30 μm, 7.3%). The SOM greatly affected the pore structure and PSD of aggregates in clayey soils. In particular, SOM removal reduced the volume and porosity of 5-100 μm pores while increased those of &lt; 5 μm pores in the 5-2 and 2-0.25 mm aggregates of clayey soils. The increase in the volume and porosity of &lt; 5 μm pores may be attributed to the disaggregation and partial emptying of small pores caused by the destruction of SOM.","author":[{"dropping-particle":"","family":"Zaffar","given":"Malik","non-dropping-particle":"","parse-names":false,"suffix":""},{"dropping-particle":"","family":"Lu","given":"Sheng Gao","non-dropping-particle":"","parse-names":false,"suffix":""}],"container-title":"Pedosphere","id":"ITEM-1","issue":"2","issued":{"date-parts":[["2015"]]},"page":"240-249","publisher":"Soil Science Society of China","title":"Pore size distribution of clayey soils and its correlation with soil organic matter","type":"article-journal","volume":"25"},"uris":["http://www.mendeley.com/documents/?uuid=e9332ae4-d82c-46c0-a152-5ced6e888b5e"]}],"mendeley":{"formattedCitation":"[4]","plainTextFormattedCitation":"[4]","previouslyFormattedCitation":"[4]"},"properties":{"noteIndex":0},"schema":"https://github.com/citation-style-language/schema/raw/master/csl-citation.json"}</w:instrText>
      </w:r>
      <w:r w:rsidRPr="00677810">
        <w:rPr>
          <w:rFonts w:ascii="Times New Roman" w:hAnsi="Times New Roman" w:cs="Times New Roman"/>
          <w:color w:val="auto"/>
          <w:sz w:val="22"/>
        </w:rPr>
        <w:fldChar w:fldCharType="separate"/>
      </w:r>
      <w:r w:rsidR="00C12848" w:rsidRPr="00677810">
        <w:rPr>
          <w:rFonts w:ascii="Times New Roman" w:hAnsi="Times New Roman" w:cs="Times New Roman"/>
          <w:noProof/>
          <w:color w:val="auto"/>
          <w:sz w:val="22"/>
        </w:rPr>
        <w:t>[4]</w:t>
      </w:r>
      <w:r w:rsidRPr="00677810">
        <w:rPr>
          <w:rFonts w:ascii="Times New Roman" w:hAnsi="Times New Roman" w:cs="Times New Roman"/>
          <w:color w:val="auto"/>
          <w:sz w:val="22"/>
        </w:rPr>
        <w:fldChar w:fldCharType="end"/>
      </w:r>
    </w:p>
    <w:tbl>
      <w:tblPr>
        <w:tblStyle w:val="Rcsostblzat"/>
        <w:tblW w:w="0" w:type="auto"/>
        <w:tblLook w:val="04A0"/>
      </w:tblPr>
      <w:tblGrid>
        <w:gridCol w:w="4831"/>
        <w:gridCol w:w="2430"/>
        <w:gridCol w:w="2027"/>
      </w:tblGrid>
      <w:tr w:rsidR="00F94AD6" w:rsidRPr="00070A1E" w:rsidTr="00C12848">
        <w:tc>
          <w:tcPr>
            <w:tcW w:w="4831" w:type="dxa"/>
          </w:tcPr>
          <w:p w:rsidR="00F94AD6" w:rsidRPr="00070A1E" w:rsidRDefault="0027130F" w:rsidP="00F94AD6">
            <w:pPr>
              <w:rPr>
                <w:rFonts w:ascii="Times New Roman" w:hAnsi="Times New Roman" w:cs="Times New Roman"/>
                <w:b/>
              </w:rPr>
            </w:pPr>
            <w:r w:rsidRPr="00070A1E">
              <w:rPr>
                <w:rFonts w:ascii="Times New Roman" w:hAnsi="Times New Roman" w:cs="Times New Roman"/>
                <w:b/>
              </w:rPr>
              <w:t>Pórus</w:t>
            </w:r>
          </w:p>
        </w:tc>
        <w:tc>
          <w:tcPr>
            <w:tcW w:w="2430" w:type="dxa"/>
          </w:tcPr>
          <w:p w:rsidR="00F94AD6" w:rsidRPr="00070A1E" w:rsidRDefault="0027130F" w:rsidP="00F94AD6">
            <w:pPr>
              <w:rPr>
                <w:rFonts w:ascii="Times New Roman" w:hAnsi="Times New Roman" w:cs="Times New Roman"/>
                <w:b/>
              </w:rPr>
            </w:pPr>
            <w:r w:rsidRPr="00070A1E">
              <w:rPr>
                <w:rFonts w:ascii="Times New Roman" w:hAnsi="Times New Roman" w:cs="Times New Roman"/>
                <w:b/>
              </w:rPr>
              <w:t>Méret</w:t>
            </w:r>
          </w:p>
        </w:tc>
        <w:tc>
          <w:tcPr>
            <w:tcW w:w="2027" w:type="dxa"/>
          </w:tcPr>
          <w:p w:rsidR="00F94AD6" w:rsidRPr="00070A1E" w:rsidRDefault="0027130F" w:rsidP="00F94AD6">
            <w:pPr>
              <w:rPr>
                <w:rFonts w:ascii="Times New Roman" w:hAnsi="Times New Roman" w:cs="Times New Roman"/>
                <w:b/>
              </w:rPr>
            </w:pPr>
            <w:r w:rsidRPr="00070A1E">
              <w:rPr>
                <w:rFonts w:ascii="Times New Roman" w:hAnsi="Times New Roman" w:cs="Times New Roman"/>
                <w:b/>
              </w:rPr>
              <w:t>Típus</w:t>
            </w:r>
          </w:p>
        </w:tc>
      </w:tr>
      <w:tr w:rsidR="0027130F" w:rsidRPr="00070A1E" w:rsidTr="00C12848">
        <w:tc>
          <w:tcPr>
            <w:tcW w:w="4831" w:type="dxa"/>
          </w:tcPr>
          <w:p w:rsidR="0027130F" w:rsidRPr="00070A1E" w:rsidRDefault="0027130F" w:rsidP="0027130F">
            <w:pPr>
              <w:rPr>
                <w:rFonts w:ascii="Times New Roman" w:hAnsi="Times New Roman" w:cs="Times New Roman"/>
              </w:rPr>
            </w:pPr>
            <w:r w:rsidRPr="00070A1E">
              <w:rPr>
                <w:rFonts w:ascii="Times New Roman" w:hAnsi="Times New Roman" w:cs="Times New Roman"/>
              </w:rPr>
              <w:t>agyagrétegek közötti tér</w:t>
            </w:r>
          </w:p>
        </w:tc>
        <w:tc>
          <w:tcPr>
            <w:tcW w:w="2430" w:type="dxa"/>
          </w:tcPr>
          <w:p w:rsidR="0027130F" w:rsidRPr="00070A1E" w:rsidRDefault="0027130F" w:rsidP="0027130F">
            <w:pPr>
              <w:rPr>
                <w:rFonts w:ascii="Times New Roman" w:hAnsi="Times New Roman" w:cs="Times New Roman"/>
              </w:rPr>
            </w:pPr>
            <w:r w:rsidRPr="00070A1E">
              <w:rPr>
                <w:rFonts w:ascii="Times New Roman" w:hAnsi="Times New Roman" w:cs="Times New Roman"/>
              </w:rPr>
              <w:t xml:space="preserve">&lt;0,01 </w:t>
            </w:r>
            <w:proofErr w:type="spellStart"/>
            <w:r w:rsidRPr="00070A1E">
              <w:rPr>
                <w:rFonts w:ascii="Times New Roman" w:hAnsi="Times New Roman" w:cs="Times New Roman"/>
              </w:rPr>
              <w:t>µm</w:t>
            </w:r>
            <w:proofErr w:type="spellEnd"/>
          </w:p>
        </w:tc>
        <w:tc>
          <w:tcPr>
            <w:tcW w:w="2027" w:type="dxa"/>
          </w:tcPr>
          <w:p w:rsidR="0027130F" w:rsidRPr="00070A1E" w:rsidRDefault="0027130F" w:rsidP="00F94AD6">
            <w:pPr>
              <w:rPr>
                <w:rFonts w:ascii="Times New Roman" w:hAnsi="Times New Roman" w:cs="Times New Roman"/>
              </w:rPr>
            </w:pPr>
            <w:proofErr w:type="spellStart"/>
            <w:r w:rsidRPr="00070A1E">
              <w:rPr>
                <w:rFonts w:ascii="Times New Roman" w:hAnsi="Times New Roman" w:cs="Times New Roman"/>
              </w:rPr>
              <w:t>textúrális</w:t>
            </w:r>
            <w:proofErr w:type="spellEnd"/>
          </w:p>
        </w:tc>
      </w:tr>
      <w:tr w:rsidR="0027130F" w:rsidRPr="00070A1E" w:rsidTr="00C12848">
        <w:tc>
          <w:tcPr>
            <w:tcW w:w="4831" w:type="dxa"/>
          </w:tcPr>
          <w:p w:rsidR="0027130F" w:rsidRPr="00070A1E" w:rsidRDefault="0027130F" w:rsidP="0027130F">
            <w:pPr>
              <w:rPr>
                <w:rFonts w:ascii="Times New Roman" w:hAnsi="Times New Roman" w:cs="Times New Roman"/>
              </w:rPr>
            </w:pPr>
            <w:r w:rsidRPr="00070A1E">
              <w:rPr>
                <w:rFonts w:ascii="Times New Roman" w:hAnsi="Times New Roman" w:cs="Times New Roman"/>
              </w:rPr>
              <w:t>agyaglapka-kötegek közötti tér</w:t>
            </w:r>
          </w:p>
        </w:tc>
        <w:tc>
          <w:tcPr>
            <w:tcW w:w="2430" w:type="dxa"/>
          </w:tcPr>
          <w:p w:rsidR="0027130F" w:rsidRPr="00070A1E" w:rsidRDefault="0027130F" w:rsidP="0027130F">
            <w:pPr>
              <w:rPr>
                <w:rFonts w:ascii="Times New Roman" w:hAnsi="Times New Roman" w:cs="Times New Roman"/>
              </w:rPr>
            </w:pPr>
            <w:r w:rsidRPr="00070A1E">
              <w:rPr>
                <w:rFonts w:ascii="Times New Roman" w:hAnsi="Times New Roman" w:cs="Times New Roman"/>
              </w:rPr>
              <w:t xml:space="preserve">0,01 </w:t>
            </w:r>
            <w:proofErr w:type="gramStart"/>
            <w:r w:rsidRPr="00070A1E">
              <w:rPr>
                <w:rFonts w:ascii="Times New Roman" w:hAnsi="Times New Roman" w:cs="Times New Roman"/>
              </w:rPr>
              <w:t>–  0</w:t>
            </w:r>
            <w:proofErr w:type="gramEnd"/>
            <w:r w:rsidRPr="00070A1E">
              <w:rPr>
                <w:rFonts w:ascii="Times New Roman" w:hAnsi="Times New Roman" w:cs="Times New Roman"/>
              </w:rPr>
              <w:t xml:space="preserve">,1 </w:t>
            </w:r>
            <w:proofErr w:type="spellStart"/>
            <w:r w:rsidRPr="00070A1E">
              <w:rPr>
                <w:rFonts w:ascii="Times New Roman" w:hAnsi="Times New Roman" w:cs="Times New Roman"/>
              </w:rPr>
              <w:t>µm</w:t>
            </w:r>
            <w:proofErr w:type="spellEnd"/>
          </w:p>
        </w:tc>
        <w:tc>
          <w:tcPr>
            <w:tcW w:w="2027" w:type="dxa"/>
          </w:tcPr>
          <w:p w:rsidR="0027130F" w:rsidRPr="00070A1E" w:rsidRDefault="0027130F" w:rsidP="00F94AD6">
            <w:pPr>
              <w:rPr>
                <w:rFonts w:ascii="Times New Roman" w:hAnsi="Times New Roman" w:cs="Times New Roman"/>
              </w:rPr>
            </w:pPr>
            <w:proofErr w:type="spellStart"/>
            <w:r w:rsidRPr="00070A1E">
              <w:rPr>
                <w:rFonts w:ascii="Times New Roman" w:hAnsi="Times New Roman" w:cs="Times New Roman"/>
              </w:rPr>
              <w:t>textúrális</w:t>
            </w:r>
            <w:proofErr w:type="spellEnd"/>
          </w:p>
        </w:tc>
      </w:tr>
      <w:tr w:rsidR="0027130F" w:rsidRPr="00070A1E" w:rsidTr="00C12848">
        <w:tc>
          <w:tcPr>
            <w:tcW w:w="4831" w:type="dxa"/>
          </w:tcPr>
          <w:p w:rsidR="0027130F" w:rsidRPr="00070A1E" w:rsidRDefault="0027130F" w:rsidP="00F94AD6">
            <w:pPr>
              <w:rPr>
                <w:rFonts w:ascii="Times New Roman" w:hAnsi="Times New Roman" w:cs="Times New Roman"/>
              </w:rPr>
            </w:pPr>
            <w:r w:rsidRPr="00070A1E">
              <w:rPr>
                <w:rFonts w:ascii="Times New Roman" w:hAnsi="Times New Roman" w:cs="Times New Roman"/>
              </w:rPr>
              <w:t>egyedi részecskék közötti rések</w:t>
            </w:r>
          </w:p>
        </w:tc>
        <w:tc>
          <w:tcPr>
            <w:tcW w:w="2430" w:type="dxa"/>
          </w:tcPr>
          <w:p w:rsidR="0027130F" w:rsidRPr="00070A1E" w:rsidRDefault="0027130F" w:rsidP="0027130F">
            <w:pPr>
              <w:rPr>
                <w:rFonts w:ascii="Times New Roman" w:hAnsi="Times New Roman" w:cs="Times New Roman"/>
              </w:rPr>
            </w:pPr>
            <w:r w:rsidRPr="00070A1E">
              <w:rPr>
                <w:rFonts w:ascii="Times New Roman" w:hAnsi="Times New Roman" w:cs="Times New Roman"/>
              </w:rPr>
              <w:t>0,</w:t>
            </w:r>
            <w:proofErr w:type="gramStart"/>
            <w:r w:rsidRPr="00070A1E">
              <w:rPr>
                <w:rFonts w:ascii="Times New Roman" w:hAnsi="Times New Roman" w:cs="Times New Roman"/>
              </w:rPr>
              <w:t>1  –</w:t>
            </w:r>
            <w:proofErr w:type="gramEnd"/>
            <w:r w:rsidRPr="00070A1E">
              <w:rPr>
                <w:rFonts w:ascii="Times New Roman" w:hAnsi="Times New Roman" w:cs="Times New Roman"/>
              </w:rPr>
              <w:t xml:space="preserve"> 0,001µm</w:t>
            </w:r>
          </w:p>
        </w:tc>
        <w:tc>
          <w:tcPr>
            <w:tcW w:w="2027" w:type="dxa"/>
          </w:tcPr>
          <w:p w:rsidR="0027130F" w:rsidRPr="00070A1E" w:rsidRDefault="0027130F" w:rsidP="00F94AD6">
            <w:pPr>
              <w:rPr>
                <w:rFonts w:ascii="Times New Roman" w:hAnsi="Times New Roman" w:cs="Times New Roman"/>
              </w:rPr>
            </w:pPr>
            <w:proofErr w:type="spellStart"/>
            <w:r w:rsidRPr="00070A1E">
              <w:rPr>
                <w:rFonts w:ascii="Times New Roman" w:hAnsi="Times New Roman" w:cs="Times New Roman"/>
              </w:rPr>
              <w:t>textúrális</w:t>
            </w:r>
            <w:proofErr w:type="spellEnd"/>
          </w:p>
        </w:tc>
      </w:tr>
      <w:tr w:rsidR="0027130F" w:rsidRPr="00070A1E" w:rsidTr="00C12848">
        <w:tc>
          <w:tcPr>
            <w:tcW w:w="4831" w:type="dxa"/>
          </w:tcPr>
          <w:p w:rsidR="0027130F" w:rsidRPr="00070A1E" w:rsidRDefault="0027130F" w:rsidP="00F94AD6">
            <w:pPr>
              <w:rPr>
                <w:rFonts w:ascii="Times New Roman" w:hAnsi="Times New Roman" w:cs="Times New Roman"/>
              </w:rPr>
            </w:pPr>
            <w:proofErr w:type="spellStart"/>
            <w:r w:rsidRPr="00070A1E">
              <w:rPr>
                <w:rFonts w:ascii="Times New Roman" w:hAnsi="Times New Roman" w:cs="Times New Roman"/>
              </w:rPr>
              <w:t>mikroaggregátumok</w:t>
            </w:r>
            <w:proofErr w:type="spellEnd"/>
            <w:r w:rsidRPr="00070A1E">
              <w:rPr>
                <w:rFonts w:ascii="Times New Roman" w:hAnsi="Times New Roman" w:cs="Times New Roman"/>
              </w:rPr>
              <w:t xml:space="preserve"> elrendeződése</w:t>
            </w:r>
          </w:p>
        </w:tc>
        <w:tc>
          <w:tcPr>
            <w:tcW w:w="2430" w:type="dxa"/>
          </w:tcPr>
          <w:p w:rsidR="0027130F" w:rsidRPr="00070A1E" w:rsidRDefault="0027130F" w:rsidP="0027130F">
            <w:pPr>
              <w:rPr>
                <w:rFonts w:ascii="Times New Roman" w:hAnsi="Times New Roman" w:cs="Times New Roman"/>
              </w:rPr>
            </w:pPr>
            <w:r w:rsidRPr="00070A1E">
              <w:rPr>
                <w:rFonts w:ascii="Times New Roman" w:hAnsi="Times New Roman" w:cs="Times New Roman"/>
              </w:rPr>
              <w:t xml:space="preserve">0,03 – 100 </w:t>
            </w:r>
            <w:proofErr w:type="spellStart"/>
            <w:r w:rsidRPr="00070A1E">
              <w:rPr>
                <w:rFonts w:ascii="Times New Roman" w:hAnsi="Times New Roman" w:cs="Times New Roman"/>
              </w:rPr>
              <w:t>µm</w:t>
            </w:r>
            <w:proofErr w:type="spellEnd"/>
          </w:p>
        </w:tc>
        <w:tc>
          <w:tcPr>
            <w:tcW w:w="2027" w:type="dxa"/>
          </w:tcPr>
          <w:p w:rsidR="0027130F" w:rsidRPr="00070A1E" w:rsidRDefault="0027130F" w:rsidP="00F94AD6">
            <w:pPr>
              <w:rPr>
                <w:rFonts w:ascii="Times New Roman" w:hAnsi="Times New Roman" w:cs="Times New Roman"/>
              </w:rPr>
            </w:pPr>
            <w:proofErr w:type="spellStart"/>
            <w:r w:rsidRPr="00070A1E">
              <w:rPr>
                <w:rFonts w:ascii="Times New Roman" w:hAnsi="Times New Roman" w:cs="Times New Roman"/>
              </w:rPr>
              <w:t>textúrális</w:t>
            </w:r>
            <w:proofErr w:type="spellEnd"/>
            <w:r w:rsidR="00C12848" w:rsidRPr="00070A1E">
              <w:rPr>
                <w:rFonts w:ascii="Times New Roman" w:hAnsi="Times New Roman" w:cs="Times New Roman"/>
              </w:rPr>
              <w:t>/szerkezeti</w:t>
            </w:r>
          </w:p>
        </w:tc>
      </w:tr>
      <w:tr w:rsidR="00F94AD6" w:rsidRPr="00070A1E" w:rsidTr="00C12848">
        <w:tc>
          <w:tcPr>
            <w:tcW w:w="4831" w:type="dxa"/>
          </w:tcPr>
          <w:p w:rsidR="00F94AD6" w:rsidRPr="00070A1E" w:rsidRDefault="008B4555" w:rsidP="00F94AD6">
            <w:pPr>
              <w:rPr>
                <w:rFonts w:ascii="Times New Roman" w:hAnsi="Times New Roman" w:cs="Times New Roman"/>
              </w:rPr>
            </w:pPr>
            <w:r w:rsidRPr="00070A1E">
              <w:rPr>
                <w:rFonts w:ascii="Times New Roman" w:hAnsi="Times New Roman" w:cs="Times New Roman"/>
              </w:rPr>
              <w:t>h</w:t>
            </w:r>
            <w:r w:rsidR="0027130F" w:rsidRPr="00070A1E">
              <w:rPr>
                <w:rFonts w:ascii="Times New Roman" w:hAnsi="Times New Roman" w:cs="Times New Roman"/>
              </w:rPr>
              <w:t>ézagok, melyek a homok és agyagszemcsék tömörödése miatt alakulnak ki</w:t>
            </w:r>
          </w:p>
        </w:tc>
        <w:tc>
          <w:tcPr>
            <w:tcW w:w="2430" w:type="dxa"/>
          </w:tcPr>
          <w:p w:rsidR="00F94AD6" w:rsidRPr="00070A1E" w:rsidRDefault="0027130F" w:rsidP="00F94AD6">
            <w:pPr>
              <w:rPr>
                <w:rFonts w:ascii="Times New Roman" w:hAnsi="Times New Roman" w:cs="Times New Roman"/>
              </w:rPr>
            </w:pPr>
            <w:r w:rsidRPr="00070A1E">
              <w:rPr>
                <w:rFonts w:ascii="Times New Roman" w:hAnsi="Times New Roman" w:cs="Times New Roman"/>
              </w:rPr>
              <w:t xml:space="preserve">0,03 – 5 </w:t>
            </w:r>
            <w:proofErr w:type="spellStart"/>
            <w:r w:rsidRPr="00070A1E">
              <w:rPr>
                <w:rFonts w:ascii="Times New Roman" w:hAnsi="Times New Roman" w:cs="Times New Roman"/>
              </w:rPr>
              <w:t>µm</w:t>
            </w:r>
            <w:proofErr w:type="spellEnd"/>
          </w:p>
        </w:tc>
        <w:tc>
          <w:tcPr>
            <w:tcW w:w="2027" w:type="dxa"/>
          </w:tcPr>
          <w:p w:rsidR="00F94AD6" w:rsidRPr="00070A1E" w:rsidRDefault="0027130F" w:rsidP="00F94AD6">
            <w:pPr>
              <w:rPr>
                <w:rFonts w:ascii="Times New Roman" w:hAnsi="Times New Roman" w:cs="Times New Roman"/>
              </w:rPr>
            </w:pPr>
            <w:proofErr w:type="spellStart"/>
            <w:r w:rsidRPr="00070A1E">
              <w:rPr>
                <w:rFonts w:ascii="Times New Roman" w:hAnsi="Times New Roman" w:cs="Times New Roman"/>
              </w:rPr>
              <w:t>textúrális</w:t>
            </w:r>
            <w:proofErr w:type="spellEnd"/>
          </w:p>
        </w:tc>
      </w:tr>
      <w:tr w:rsidR="00F94AD6" w:rsidRPr="00070A1E" w:rsidTr="00C12848">
        <w:tc>
          <w:tcPr>
            <w:tcW w:w="4831" w:type="dxa"/>
          </w:tcPr>
          <w:p w:rsidR="00F94AD6" w:rsidRPr="00070A1E" w:rsidRDefault="008B4555" w:rsidP="00F94AD6">
            <w:pPr>
              <w:rPr>
                <w:rFonts w:ascii="Times New Roman" w:hAnsi="Times New Roman" w:cs="Times New Roman"/>
              </w:rPr>
            </w:pPr>
            <w:r w:rsidRPr="00070A1E">
              <w:rPr>
                <w:rFonts w:ascii="Times New Roman" w:hAnsi="Times New Roman" w:cs="Times New Roman"/>
              </w:rPr>
              <w:t>a</w:t>
            </w:r>
            <w:r w:rsidR="0027130F" w:rsidRPr="00070A1E">
              <w:rPr>
                <w:rFonts w:ascii="Times New Roman" w:hAnsi="Times New Roman" w:cs="Times New Roman"/>
              </w:rPr>
              <w:t>ggregátumok közötti rések</w:t>
            </w:r>
          </w:p>
        </w:tc>
        <w:tc>
          <w:tcPr>
            <w:tcW w:w="2430" w:type="dxa"/>
          </w:tcPr>
          <w:p w:rsidR="00F94AD6" w:rsidRPr="00070A1E" w:rsidRDefault="0027130F" w:rsidP="00F94AD6">
            <w:pPr>
              <w:rPr>
                <w:rFonts w:ascii="Times New Roman" w:hAnsi="Times New Roman" w:cs="Times New Roman"/>
              </w:rPr>
            </w:pPr>
            <w:r w:rsidRPr="00070A1E">
              <w:rPr>
                <w:rFonts w:ascii="Times New Roman" w:hAnsi="Times New Roman" w:cs="Times New Roman"/>
              </w:rPr>
              <w:t xml:space="preserve">50 – </w:t>
            </w:r>
            <w:proofErr w:type="gramStart"/>
            <w:r w:rsidRPr="00070A1E">
              <w:rPr>
                <w:rFonts w:ascii="Times New Roman" w:hAnsi="Times New Roman" w:cs="Times New Roman"/>
              </w:rPr>
              <w:t xml:space="preserve">80  </w:t>
            </w:r>
            <w:proofErr w:type="spellStart"/>
            <w:r w:rsidRPr="00070A1E">
              <w:rPr>
                <w:rFonts w:ascii="Times New Roman" w:hAnsi="Times New Roman" w:cs="Times New Roman"/>
              </w:rPr>
              <w:t>µm</w:t>
            </w:r>
            <w:proofErr w:type="spellEnd"/>
            <w:proofErr w:type="gramEnd"/>
          </w:p>
        </w:tc>
        <w:tc>
          <w:tcPr>
            <w:tcW w:w="2027" w:type="dxa"/>
          </w:tcPr>
          <w:p w:rsidR="00F94AD6" w:rsidRPr="00070A1E" w:rsidRDefault="00C12848" w:rsidP="00F94AD6">
            <w:pPr>
              <w:rPr>
                <w:rFonts w:ascii="Times New Roman" w:hAnsi="Times New Roman" w:cs="Times New Roman"/>
              </w:rPr>
            </w:pPr>
            <w:r w:rsidRPr="00070A1E">
              <w:rPr>
                <w:rFonts w:ascii="Times New Roman" w:hAnsi="Times New Roman" w:cs="Times New Roman"/>
              </w:rPr>
              <w:t>szerkezeti</w:t>
            </w:r>
          </w:p>
        </w:tc>
      </w:tr>
      <w:tr w:rsidR="00F94AD6" w:rsidRPr="00070A1E" w:rsidTr="00C12848">
        <w:tc>
          <w:tcPr>
            <w:tcW w:w="4831" w:type="dxa"/>
          </w:tcPr>
          <w:p w:rsidR="00F94AD6" w:rsidRPr="00070A1E" w:rsidRDefault="008B4555" w:rsidP="00C12848">
            <w:pPr>
              <w:rPr>
                <w:rFonts w:ascii="Times New Roman" w:hAnsi="Times New Roman" w:cs="Times New Roman"/>
              </w:rPr>
            </w:pPr>
            <w:r w:rsidRPr="00070A1E">
              <w:rPr>
                <w:rFonts w:ascii="Times New Roman" w:hAnsi="Times New Roman" w:cs="Times New Roman"/>
              </w:rPr>
              <w:t>g</w:t>
            </w:r>
            <w:r w:rsidR="00C12848" w:rsidRPr="00070A1E">
              <w:rPr>
                <w:rFonts w:ascii="Times New Roman" w:hAnsi="Times New Roman" w:cs="Times New Roman"/>
              </w:rPr>
              <w:t>yökerek és élőlények által létrehozott lyukak</w:t>
            </w:r>
          </w:p>
        </w:tc>
        <w:tc>
          <w:tcPr>
            <w:tcW w:w="2430" w:type="dxa"/>
          </w:tcPr>
          <w:p w:rsidR="00F94AD6" w:rsidRPr="00070A1E" w:rsidRDefault="00C12848" w:rsidP="00F94AD6">
            <w:pPr>
              <w:rPr>
                <w:rFonts w:ascii="Times New Roman" w:hAnsi="Times New Roman" w:cs="Times New Roman"/>
              </w:rPr>
            </w:pPr>
            <w:r w:rsidRPr="00070A1E">
              <w:rPr>
                <w:rFonts w:ascii="Times New Roman" w:hAnsi="Times New Roman" w:cs="Times New Roman"/>
              </w:rPr>
              <w:t xml:space="preserve">50 – </w:t>
            </w:r>
            <w:proofErr w:type="gramStart"/>
            <w:r w:rsidRPr="00070A1E">
              <w:rPr>
                <w:rFonts w:ascii="Times New Roman" w:hAnsi="Times New Roman" w:cs="Times New Roman"/>
              </w:rPr>
              <w:t xml:space="preserve">80  </w:t>
            </w:r>
            <w:proofErr w:type="spellStart"/>
            <w:r w:rsidRPr="00070A1E">
              <w:rPr>
                <w:rFonts w:ascii="Times New Roman" w:hAnsi="Times New Roman" w:cs="Times New Roman"/>
              </w:rPr>
              <w:t>µm</w:t>
            </w:r>
            <w:proofErr w:type="spellEnd"/>
            <w:proofErr w:type="gramEnd"/>
          </w:p>
        </w:tc>
        <w:tc>
          <w:tcPr>
            <w:tcW w:w="2027" w:type="dxa"/>
          </w:tcPr>
          <w:p w:rsidR="00F94AD6" w:rsidRPr="00070A1E" w:rsidRDefault="00C12848" w:rsidP="00C12848">
            <w:pPr>
              <w:rPr>
                <w:rFonts w:ascii="Times New Roman" w:hAnsi="Times New Roman" w:cs="Times New Roman"/>
              </w:rPr>
            </w:pPr>
            <w:r w:rsidRPr="00070A1E">
              <w:rPr>
                <w:rFonts w:ascii="Times New Roman" w:hAnsi="Times New Roman" w:cs="Times New Roman"/>
              </w:rPr>
              <w:t>szerkezeti</w:t>
            </w:r>
          </w:p>
        </w:tc>
      </w:tr>
      <w:tr w:rsidR="007F2EB9" w:rsidRPr="00070A1E" w:rsidTr="00C12848">
        <w:tc>
          <w:tcPr>
            <w:tcW w:w="4831" w:type="dxa"/>
          </w:tcPr>
          <w:p w:rsidR="007F2EB9" w:rsidRPr="00070A1E" w:rsidRDefault="007F2EB9" w:rsidP="00C12848">
            <w:pPr>
              <w:rPr>
                <w:rFonts w:ascii="Times New Roman" w:hAnsi="Times New Roman" w:cs="Times New Roman"/>
              </w:rPr>
            </w:pPr>
            <w:proofErr w:type="gramStart"/>
            <w:r w:rsidRPr="00070A1E">
              <w:rPr>
                <w:rFonts w:ascii="Times New Roman" w:hAnsi="Times New Roman" w:cs="Times New Roman"/>
              </w:rPr>
              <w:t>repedések</w:t>
            </w:r>
            <w:proofErr w:type="gramEnd"/>
            <w:r w:rsidR="001E0539" w:rsidRPr="00070A1E">
              <w:rPr>
                <w:rFonts w:ascii="Times New Roman" w:hAnsi="Times New Roman" w:cs="Times New Roman"/>
              </w:rPr>
              <w:fldChar w:fldCharType="begin" w:fldLock="1"/>
            </w:r>
            <w:r w:rsidR="006E4204" w:rsidRPr="00070A1E">
              <w:rPr>
                <w:rFonts w:ascii="Times New Roman" w:hAnsi="Times New Roman" w:cs="Times New Roman"/>
              </w:rPr>
              <w:instrText>ADDIN CSL_CITATION {"citationItems":[{"id":"ITEM-1","itemData":{"DOI":"10.1016/j.still.2004.07.002","ISSN":"01671987","abstract":"To evaluate the impact of management practices on the soil environment, it is necessary to quantify the modifications to the soil structure. Soil structure conditions were evaluated by characterizing porosity using a combination of mercury intrusion porosimetry, image analysis and micromorphological observations. Saturated hydraulic conductivity and aggregate stability were also analysed. In soils tilled by alternative tillage systems, like ripper subsoiling, the macroporosity was generally higher and homogeneously distributed through the profile while the conventional tillage systems, like the mouldboard ploughing, showed a significant reduction of porosity both in the surface layer (0-100 mm) and at the lower cultivation depth (400-500 mm). The higher macroporosity in soils under alternative tillage systems was due to a larger number of elongated transmission pores. Also, the microporosity within the aggregates, measured by mercury intrusion porosimetry, increased in the soil tilled by ripper subsoiling and disc harrow (minimum tillage). The resulting soil structure was more open and more homogeneous, thus allowing better water movement, as confirmed by the higher hydraulic conductivity in the soil tilled by ripper subsoiling. Aggregates were less stable in ploughed soils and this resulted in a more pronounced tendency to form surface crust compared with soils under minimum tillage and ripper subsoiling. The application of compost and manure improved the soil porosity and the soil aggregation. A better aggregation indicated that the addition of organic materials plays an important role in preventing soil crust formation. These results confirm that it is possible to adopt alternative tillage systems to prevent soil physical degradation and that the application of organic materials is essential to improve the soil structure quality. © 2004 Elsevier B.V. All rights reserved.","author":[{"dropping-particle":"","family":"Pagliai","given":"M.","non-dropping-particle":"","parse-names":false,"suffix":""},{"dropping-particle":"","family":"Vignozzi","given":"N.","non-dropping-particle":"","parse-names":false,"suffix":""},{"dropping-particle":"","family":"Pellegrini","given":"S.","non-dropping-particle":"","parse-names":false,"suffix":""}],"container-title":"Soil and Tillage Research","id":"ITEM-1","issue":"2 SPEC.ISS.","issued":{"date-parts":[["2004"]]},"page":"131-143","title":"Soil structure and the effect of management practices","type":"article-journal","volume":"79"},"uris":["http://www.mendeley.com/documents/?uuid=bbec4e76-16b6-4dfa-a828-349a05484bfb"]}],"mendeley":{"formattedCitation":"[5]","plainTextFormattedCitation":"[5]","previouslyFormattedCitation":"[5]"},"properties":{"noteIndex":0},"schema":"https://github.com/citation-style-language/schema/raw/master/csl-citation.json"}</w:instrText>
            </w:r>
            <w:r w:rsidR="001E0539" w:rsidRPr="00070A1E">
              <w:rPr>
                <w:rFonts w:ascii="Times New Roman" w:hAnsi="Times New Roman" w:cs="Times New Roman"/>
              </w:rPr>
              <w:fldChar w:fldCharType="separate"/>
            </w:r>
            <w:r w:rsidRPr="00070A1E">
              <w:rPr>
                <w:rFonts w:ascii="Times New Roman" w:hAnsi="Times New Roman" w:cs="Times New Roman"/>
                <w:noProof/>
              </w:rPr>
              <w:t>[5]</w:t>
            </w:r>
            <w:r w:rsidR="001E0539" w:rsidRPr="00070A1E">
              <w:rPr>
                <w:rFonts w:ascii="Times New Roman" w:hAnsi="Times New Roman" w:cs="Times New Roman"/>
              </w:rPr>
              <w:fldChar w:fldCharType="end"/>
            </w:r>
          </w:p>
        </w:tc>
        <w:tc>
          <w:tcPr>
            <w:tcW w:w="2430" w:type="dxa"/>
          </w:tcPr>
          <w:p w:rsidR="007F2EB9" w:rsidRPr="00070A1E" w:rsidRDefault="007F2EB9" w:rsidP="00F94AD6">
            <w:pPr>
              <w:rPr>
                <w:rFonts w:ascii="Times New Roman" w:hAnsi="Times New Roman" w:cs="Times New Roman"/>
              </w:rPr>
            </w:pPr>
            <w:proofErr w:type="gramStart"/>
            <w:r w:rsidRPr="00070A1E">
              <w:rPr>
                <w:rFonts w:ascii="Times New Roman" w:hAnsi="Times New Roman" w:cs="Times New Roman"/>
              </w:rPr>
              <w:t>&gt;</w:t>
            </w:r>
            <w:proofErr w:type="gramEnd"/>
            <w:r w:rsidRPr="00070A1E">
              <w:rPr>
                <w:rFonts w:ascii="Times New Roman" w:hAnsi="Times New Roman" w:cs="Times New Roman"/>
              </w:rPr>
              <w:t xml:space="preserve">500 </w:t>
            </w:r>
            <w:proofErr w:type="spellStart"/>
            <w:r w:rsidRPr="00070A1E">
              <w:rPr>
                <w:rFonts w:ascii="Times New Roman" w:hAnsi="Times New Roman" w:cs="Times New Roman"/>
              </w:rPr>
              <w:t>µm</w:t>
            </w:r>
            <w:proofErr w:type="spellEnd"/>
          </w:p>
        </w:tc>
        <w:tc>
          <w:tcPr>
            <w:tcW w:w="2027" w:type="dxa"/>
          </w:tcPr>
          <w:p w:rsidR="007F2EB9" w:rsidRPr="00070A1E" w:rsidRDefault="007F2EB9" w:rsidP="00C12848">
            <w:pPr>
              <w:rPr>
                <w:rFonts w:ascii="Times New Roman" w:hAnsi="Times New Roman" w:cs="Times New Roman"/>
              </w:rPr>
            </w:pPr>
            <w:r w:rsidRPr="00070A1E">
              <w:rPr>
                <w:rFonts w:ascii="Times New Roman" w:hAnsi="Times New Roman" w:cs="Times New Roman"/>
              </w:rPr>
              <w:t>szerkezeti</w:t>
            </w:r>
          </w:p>
        </w:tc>
      </w:tr>
    </w:tbl>
    <w:p w:rsidR="00F94AD6" w:rsidRPr="00070A1E" w:rsidRDefault="00F94AD6" w:rsidP="00F94AD6">
      <w:pPr>
        <w:ind w:firstLine="426"/>
        <w:rPr>
          <w:rFonts w:ascii="Times New Roman" w:hAnsi="Times New Roman" w:cs="Times New Roman"/>
        </w:rPr>
      </w:pPr>
    </w:p>
    <w:p w:rsidR="006678B5" w:rsidRDefault="006678B5" w:rsidP="006678B5">
      <w:pPr>
        <w:rPr>
          <w:rFonts w:ascii="Times New Roman" w:hAnsi="Times New Roman" w:cs="Times New Roman"/>
        </w:rPr>
      </w:pPr>
    </w:p>
    <w:p w:rsidR="002F2B05" w:rsidRPr="00070A1E" w:rsidRDefault="002F2B05" w:rsidP="006678B5">
      <w:pPr>
        <w:rPr>
          <w:rFonts w:ascii="Times New Roman" w:hAnsi="Times New Roman" w:cs="Times New Roman"/>
        </w:rPr>
      </w:pPr>
    </w:p>
    <w:p w:rsidR="00646250" w:rsidRDefault="008814FD" w:rsidP="008814FD">
      <w:pPr>
        <w:pStyle w:val="Listaszerbekezds"/>
        <w:numPr>
          <w:ilvl w:val="0"/>
          <w:numId w:val="4"/>
        </w:numPr>
        <w:jc w:val="center"/>
        <w:rPr>
          <w:rFonts w:ascii="Times New Roman" w:hAnsi="Times New Roman" w:cs="Times New Roman"/>
          <w:b/>
          <w:sz w:val="28"/>
        </w:rPr>
      </w:pPr>
      <w:r w:rsidRPr="00070A1E">
        <w:rPr>
          <w:rFonts w:ascii="Times New Roman" w:hAnsi="Times New Roman" w:cs="Times New Roman"/>
          <w:b/>
          <w:sz w:val="28"/>
        </w:rPr>
        <w:t>A talaj, mint pórusos rendszer fő jellemzői, és azok meghatározása</w:t>
      </w:r>
    </w:p>
    <w:p w:rsidR="002F2B05" w:rsidRPr="00070A1E" w:rsidRDefault="002F2B05" w:rsidP="002F2B05">
      <w:pPr>
        <w:pStyle w:val="Listaszerbekezds"/>
        <w:rPr>
          <w:rFonts w:ascii="Times New Roman" w:hAnsi="Times New Roman" w:cs="Times New Roman"/>
          <w:b/>
          <w:sz w:val="28"/>
        </w:rPr>
      </w:pPr>
    </w:p>
    <w:p w:rsidR="00D55B9F" w:rsidRPr="00070A1E" w:rsidRDefault="00F82D03" w:rsidP="00D55B9F">
      <w:pPr>
        <w:ind w:firstLine="426"/>
        <w:jc w:val="both"/>
        <w:rPr>
          <w:rFonts w:ascii="Times New Roman" w:hAnsi="Times New Roman" w:cs="Times New Roman"/>
          <w:sz w:val="24"/>
        </w:rPr>
      </w:pPr>
      <w:r w:rsidRPr="00070A1E">
        <w:rPr>
          <w:rFonts w:ascii="Times New Roman" w:hAnsi="Times New Roman" w:cs="Times New Roman"/>
          <w:sz w:val="24"/>
        </w:rPr>
        <w:t xml:space="preserve">Ebben a fejezetben a talajra, mint pórusos rendszer legfontosabb tulajdonságait, illetve </w:t>
      </w:r>
      <w:r w:rsidR="007F2EB9" w:rsidRPr="00070A1E">
        <w:rPr>
          <w:rFonts w:ascii="Times New Roman" w:hAnsi="Times New Roman" w:cs="Times New Roman"/>
          <w:sz w:val="24"/>
        </w:rPr>
        <w:t xml:space="preserve">ezek </w:t>
      </w:r>
      <w:r w:rsidRPr="00070A1E">
        <w:rPr>
          <w:rFonts w:ascii="Times New Roman" w:hAnsi="Times New Roman" w:cs="Times New Roman"/>
          <w:sz w:val="24"/>
        </w:rPr>
        <w:t>vizsgálati lehetőségeit fogom kifejteni.</w:t>
      </w:r>
    </w:p>
    <w:p w:rsidR="002F1F92" w:rsidRPr="00070A1E" w:rsidRDefault="002F1F92" w:rsidP="002E575E">
      <w:pPr>
        <w:jc w:val="center"/>
        <w:rPr>
          <w:rFonts w:ascii="Times New Roman" w:hAnsi="Times New Roman" w:cs="Times New Roman"/>
          <w:b/>
          <w:sz w:val="24"/>
          <w:u w:val="single"/>
        </w:rPr>
      </w:pPr>
      <w:r w:rsidRPr="00070A1E">
        <w:rPr>
          <w:rFonts w:ascii="Times New Roman" w:hAnsi="Times New Roman" w:cs="Times New Roman"/>
          <w:b/>
          <w:sz w:val="24"/>
          <w:u w:val="single"/>
        </w:rPr>
        <w:t>Fajlagos</w:t>
      </w:r>
      <w:r w:rsidR="002E575E" w:rsidRPr="00070A1E">
        <w:rPr>
          <w:rFonts w:ascii="Times New Roman" w:hAnsi="Times New Roman" w:cs="Times New Roman"/>
          <w:b/>
          <w:sz w:val="24"/>
          <w:u w:val="single"/>
        </w:rPr>
        <w:t xml:space="preserve"> felület</w:t>
      </w:r>
    </w:p>
    <w:p w:rsidR="002F1F92" w:rsidRPr="00070A1E" w:rsidRDefault="002F1F92" w:rsidP="002F1F92">
      <w:pPr>
        <w:jc w:val="both"/>
        <w:rPr>
          <w:rFonts w:ascii="Times New Roman" w:hAnsi="Times New Roman" w:cs="Times New Roman"/>
          <w:sz w:val="24"/>
        </w:rPr>
      </w:pPr>
      <w:r w:rsidRPr="00070A1E">
        <w:rPr>
          <w:rFonts w:ascii="Times New Roman" w:hAnsi="Times New Roman" w:cs="Times New Roman"/>
          <w:sz w:val="24"/>
        </w:rPr>
        <w:tab/>
        <w:t xml:space="preserve">Talajminták esetében beszélhetünk több, különböző fajlagos felület értékről is. A </w:t>
      </w:r>
      <w:r w:rsidRPr="00070A1E">
        <w:rPr>
          <w:rFonts w:ascii="Times New Roman" w:hAnsi="Times New Roman" w:cs="Times New Roman"/>
          <w:i/>
          <w:sz w:val="24"/>
        </w:rPr>
        <w:t>geometriai fajlagos felület</w:t>
      </w:r>
      <w:r w:rsidRPr="00070A1E">
        <w:rPr>
          <w:rFonts w:ascii="Times New Roman" w:hAnsi="Times New Roman" w:cs="Times New Roman"/>
          <w:sz w:val="24"/>
        </w:rPr>
        <w:t xml:space="preserve"> számított érték, a talajt alkotó szemcsék alakja alapján. </w:t>
      </w:r>
      <w:proofErr w:type="gramStart"/>
      <w:r w:rsidRPr="00070A1E">
        <w:rPr>
          <w:rFonts w:ascii="Times New Roman" w:hAnsi="Times New Roman" w:cs="Times New Roman"/>
          <w:sz w:val="24"/>
        </w:rPr>
        <w:t xml:space="preserve">A </w:t>
      </w:r>
      <w:r w:rsidRPr="00070A1E">
        <w:rPr>
          <w:rFonts w:ascii="Times New Roman" w:hAnsi="Times New Roman" w:cs="Times New Roman"/>
          <w:i/>
          <w:sz w:val="24"/>
        </w:rPr>
        <w:t xml:space="preserve">belső fajlagos felületet </w:t>
      </w:r>
      <w:r w:rsidRPr="00070A1E">
        <w:rPr>
          <w:rFonts w:ascii="Times New Roman" w:hAnsi="Times New Roman" w:cs="Times New Roman"/>
          <w:sz w:val="24"/>
        </w:rPr>
        <w:t xml:space="preserve">a nyílt </w:t>
      </w:r>
      <w:r w:rsidR="00B840C7" w:rsidRPr="00070A1E">
        <w:rPr>
          <w:rFonts w:ascii="Times New Roman" w:hAnsi="Times New Roman" w:cs="Times New Roman"/>
          <w:sz w:val="24"/>
        </w:rPr>
        <w:t>pórusok</w:t>
      </w:r>
      <w:r w:rsidRPr="00070A1E">
        <w:rPr>
          <w:rFonts w:ascii="Times New Roman" w:hAnsi="Times New Roman" w:cs="Times New Roman"/>
          <w:sz w:val="24"/>
        </w:rPr>
        <w:t xml:space="preserve"> belső felülete adja, míg a </w:t>
      </w:r>
      <w:r w:rsidRPr="00070A1E">
        <w:rPr>
          <w:rFonts w:ascii="Times New Roman" w:hAnsi="Times New Roman" w:cs="Times New Roman"/>
          <w:i/>
          <w:sz w:val="24"/>
        </w:rPr>
        <w:t>külső fajlagos felület</w:t>
      </w:r>
      <w:r w:rsidRPr="00070A1E">
        <w:rPr>
          <w:rFonts w:ascii="Times New Roman" w:hAnsi="Times New Roman" w:cs="Times New Roman"/>
          <w:sz w:val="24"/>
        </w:rPr>
        <w:t xml:space="preserve"> a geometrikus fajlagos felületből származtatható, ha figyelembe vesszük az egyenetlenségeket.</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{"citationItems":[{"id":"ITEM-1","itemData":{"DOI":"10.1016/S0883-2927(02)00160-9","ISSN":"08832927","abstract":"A model that accounts for contributions to the total surface area (SA) by different size fractions of the soil is considered from a theoretical point of view. Calculations, based on continuous particle sizes and forms, explain SA mainly as a geometric SA. It is common for coarse soils to have a discrepancy between the measured SA, say inferred from adsorption of gases, and the calculated geometric area of up to two orders of magnitude. This discrepancy is removed by the present method. Size distribution is the main factor influencing the SA; taking particle forms into account resulted in a 2-3 times increase of SA. The several orders of magnitude range of grain sizes leads to crucial variations in the contributions that soil fractions make to weight, SA and number of grains. The fundamental lower limit of variation of soil properties, originating from the discrete nature of soils, is introduced. Despite the deterministic physical origin of SA, high sensitivity to the finest fractions can be considered on the environmental scale as a cause of the dual - stochastic and deterministic - nature of SA. Small variations of weight within experimental error and the fundamental limit may result in significant variations of SA, close to the same order of magnitude for coarse soils. An empirical equation (Sverdrup, 1990) relates textural data to SA at landscape scale. It is applicable to a collection of samples, while individual samples must be characterised on a probabilistic basis. © 2002 Elsevier Science Ltd. All rights reserved.","author":[{"dropping-particle":"","family":"Koptsik","given":"S.","non-dropping-particle":"","parse-names":false,"suffix":""},{"dropping-particle":"","family":"Strand","given":"L.","non-dropping-particle":"","parse-names":false,"suffix":""},{"dropping-particle":"","family":"Clarke","given":"N.","non-dropping-particle":"","parse-names":false,"suffix":""}],"container-title":"Applied Geochemistry","id":"ITEM-1","issue":"5","issued":{"date-parts":[["2003"]]},"page":"629-651","title":"On the calculation of the surface area of different soil size fractions","type":"article-journal","volume":"18"},"uris":["http://www.mendeley.com/documents/?uuid=2bde92b5-dc49-4746-b897-6e93ae393dc2"]}],"mendeley":{"formattedCitation":"[6]","plainTextFormattedCitation":"[6]","previouslyFormattedCitation":"[6]"},"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[6]</w:t>
      </w:r>
      <w:r w:rsidR="001E0539" w:rsidRPr="00070A1E">
        <w:rPr>
          <w:rFonts w:ascii="Times New Roman" w:hAnsi="Times New Roman" w:cs="Times New Roman"/>
          <w:sz w:val="24"/>
        </w:rPr>
        <w:fldChar w:fldCharType="end"/>
      </w:r>
      <w:r w:rsidRPr="00070A1E">
        <w:rPr>
          <w:rFonts w:ascii="Times New Roman" w:hAnsi="Times New Roman" w:cs="Times New Roman"/>
          <w:sz w:val="24"/>
        </w:rPr>
        <w:t xml:space="preserve"> A </w:t>
      </w:r>
      <w:r w:rsidRPr="00070A1E">
        <w:rPr>
          <w:rFonts w:ascii="Times New Roman" w:hAnsi="Times New Roman" w:cs="Times New Roman"/>
          <w:i/>
          <w:sz w:val="24"/>
        </w:rPr>
        <w:t>rétegközi (</w:t>
      </w:r>
      <w:proofErr w:type="spellStart"/>
      <w:r w:rsidRPr="00070A1E">
        <w:rPr>
          <w:rFonts w:ascii="Times New Roman" w:hAnsi="Times New Roman" w:cs="Times New Roman"/>
          <w:i/>
          <w:sz w:val="24"/>
        </w:rPr>
        <w:t>interlayer</w:t>
      </w:r>
      <w:proofErr w:type="spellEnd"/>
      <w:r w:rsidRPr="00070A1E">
        <w:rPr>
          <w:rFonts w:ascii="Times New Roman" w:hAnsi="Times New Roman" w:cs="Times New Roman"/>
          <w:i/>
          <w:sz w:val="24"/>
        </w:rPr>
        <w:t xml:space="preserve">) fajlagos felület </w:t>
      </w:r>
      <w:r w:rsidRPr="00070A1E">
        <w:rPr>
          <w:rFonts w:ascii="Times New Roman" w:hAnsi="Times New Roman" w:cs="Times New Roman"/>
          <w:sz w:val="24"/>
        </w:rPr>
        <w:t xml:space="preserve">a réteges agyagásványok rétegeket határoló falainak felülete adja. </w:t>
      </w:r>
      <w:proofErr w:type="gramStart"/>
      <w:r w:rsidRPr="00070A1E">
        <w:rPr>
          <w:rFonts w:ascii="Times New Roman" w:hAnsi="Times New Roman" w:cs="Times New Roman"/>
          <w:sz w:val="24"/>
        </w:rPr>
        <w:t xml:space="preserve">A </w:t>
      </w:r>
      <w:r w:rsidRPr="00070A1E">
        <w:rPr>
          <w:rFonts w:ascii="Times New Roman" w:hAnsi="Times New Roman" w:cs="Times New Roman"/>
          <w:i/>
          <w:sz w:val="24"/>
        </w:rPr>
        <w:t>teljes fajlagos felület</w:t>
      </w:r>
      <w:r w:rsidRPr="00070A1E">
        <w:rPr>
          <w:rFonts w:ascii="Times New Roman" w:hAnsi="Times New Roman" w:cs="Times New Roman"/>
          <w:sz w:val="24"/>
        </w:rPr>
        <w:t xml:space="preserve"> pedig a külső és belső fajlagos felületek ,illetve a szerves komponensek fajlagos felületének összegéből adódik.</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{"citationItems":[{"id":"ITEM-1","itemData":{"DOI":"10.1007/978-90-481-3585-1_265","ISBN":"978-90-481-3585-1","author":[{"dropping-particle":"","family":"Sokołowska","given":"Zofia","non-dropping-particle":"","parse-names":false,"suffix":""}],"container-title":"Encyclopedia of Agrophysics","editor":[{"dropping-particle":"","family":"Gliński","given":"Jan","non-dropping-particle":"","parse-names":false,"suffix":""},{"dropping-particle":"","family":"Horabik","given":"Józef","non-dropping-particle":"","parse-names":false,"suffix":""},{"dropping-particle":"","family":"Lipiec","given":"Jerzy","non-dropping-particle":"","parse-names":false,"suffix":""}],"id":"ITEM-1","issued":{"date-parts":[["2011"]]},"page":"839-844","publisher":"Springer Netherlands","publisher-place":"Dordrecht","title":"Specific Surface Area of Soils and Plants","type":"chapter"},"uris":["http://www.mendeley.com/documents/?uuid=319e44b9-9068-479b-95c3-691aa380180e"]}],"mendeley":{"formattedCitation":"[7]","plainTextFormattedCitation":"[7]","previouslyFormattedCitation":"[7]"},"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[7]</w:t>
      </w:r>
      <w:r w:rsidR="001E0539" w:rsidRPr="00070A1E">
        <w:rPr>
          <w:rFonts w:ascii="Times New Roman" w:hAnsi="Times New Roman" w:cs="Times New Roman"/>
          <w:sz w:val="24"/>
        </w:rPr>
        <w:fldChar w:fldCharType="end"/>
      </w:r>
    </w:p>
    <w:p w:rsidR="002E575E" w:rsidRPr="00070A1E" w:rsidRDefault="002F1F92" w:rsidP="002F1F92">
      <w:pPr>
        <w:jc w:val="both"/>
        <w:rPr>
          <w:rFonts w:ascii="Times New Roman" w:hAnsi="Times New Roman" w:cs="Times New Roman"/>
          <w:sz w:val="24"/>
        </w:rPr>
      </w:pPr>
      <w:r w:rsidRPr="00070A1E">
        <w:rPr>
          <w:rFonts w:ascii="Times New Roman" w:hAnsi="Times New Roman" w:cs="Times New Roman"/>
          <w:sz w:val="24"/>
        </w:rPr>
        <w:tab/>
      </w:r>
      <w:r w:rsidR="002E575E" w:rsidRPr="00070A1E">
        <w:rPr>
          <w:rFonts w:ascii="Times New Roman" w:hAnsi="Times New Roman" w:cs="Times New Roman"/>
          <w:sz w:val="24"/>
        </w:rPr>
        <w:t>Talajminták fajlagos felülete alapvetően más, pórusos anyagokéhoz hasonló módokon vizsgálhatóak, de nem minden módszer ugyanannyira alkalmas e célra</w:t>
      </w:r>
      <w:r w:rsidR="007F2EB9" w:rsidRPr="00070A1E">
        <w:rPr>
          <w:rFonts w:ascii="Times New Roman" w:hAnsi="Times New Roman" w:cs="Times New Roman"/>
          <w:sz w:val="24"/>
        </w:rPr>
        <w:t xml:space="preserve"> a talaj különleges tulajdonságai miatt</w:t>
      </w:r>
      <w:r w:rsidR="002F2B05">
        <w:rPr>
          <w:rFonts w:ascii="Times New Roman" w:hAnsi="Times New Roman" w:cs="Times New Roman"/>
          <w:sz w:val="24"/>
        </w:rPr>
        <w:t>.</w:t>
      </w:r>
    </w:p>
    <w:p w:rsidR="00D55B9F" w:rsidRPr="002F2B05" w:rsidRDefault="002E575E" w:rsidP="002E575E">
      <w:pPr>
        <w:pStyle w:val="Listaszerbekezds"/>
        <w:numPr>
          <w:ilvl w:val="4"/>
          <w:numId w:val="1"/>
        </w:numPr>
        <w:ind w:left="0" w:firstLine="0"/>
        <w:jc w:val="both"/>
        <w:rPr>
          <w:rFonts w:ascii="Times New Roman" w:hAnsi="Times New Roman" w:cs="Times New Roman"/>
          <w:b/>
          <w:sz w:val="24"/>
          <w:szCs w:val="24"/>
        </w:rPr>
      </w:pPr>
      <w:r w:rsidRPr="002F2B05">
        <w:rPr>
          <w:rFonts w:ascii="Times New Roman" w:hAnsi="Times New Roman" w:cs="Times New Roman"/>
          <w:b/>
          <w:sz w:val="24"/>
          <w:szCs w:val="24"/>
        </w:rPr>
        <w:t>Direkt méréses vizsgálat:</w:t>
      </w:r>
    </w:p>
    <w:p w:rsidR="00F75037" w:rsidRPr="00070A1E" w:rsidRDefault="002E575E" w:rsidP="00F75037">
      <w:pPr>
        <w:ind w:firstLine="708"/>
        <w:jc w:val="both"/>
        <w:rPr>
          <w:rFonts w:ascii="Times New Roman" w:hAnsi="Times New Roman" w:cs="Times New Roman"/>
          <w:sz w:val="24"/>
        </w:rPr>
      </w:pPr>
      <w:r w:rsidRPr="00070A1E">
        <w:rPr>
          <w:rFonts w:ascii="Times New Roman" w:hAnsi="Times New Roman" w:cs="Times New Roman"/>
          <w:sz w:val="24"/>
        </w:rPr>
        <w:t>Egyedi szemcsék optikai és elektronmikroszkópos vizsgálatával</w:t>
      </w:r>
      <w:r w:rsidR="00F75037" w:rsidRPr="00070A1E">
        <w:rPr>
          <w:rFonts w:ascii="Times New Roman" w:hAnsi="Times New Roman" w:cs="Times New Roman"/>
          <w:sz w:val="24"/>
        </w:rPr>
        <w:t xml:space="preserve"> információt lehet szerezni a szemcsék geometriájáról és méretéről, majd ezeket felhasználva, sűrűségadatok ismeretében a fajlagos felület elvileg számítható.</w:t>
      </w:r>
    </w:p>
    <w:p w:rsidR="00F75037" w:rsidRPr="00070A1E" w:rsidRDefault="00F75037" w:rsidP="00664C30">
      <w:pPr>
        <w:keepNext/>
        <w:ind w:firstLine="708"/>
        <w:jc w:val="center"/>
        <w:rPr>
          <w:rFonts w:ascii="Times New Roman" w:hAnsi="Times New Roman" w:cs="Times New Roman"/>
        </w:rPr>
      </w:pPr>
      <w:r w:rsidRPr="00070A1E">
        <w:rPr>
          <w:rFonts w:ascii="Times New Roman" w:hAnsi="Times New Roman" w:cs="Times New Roman"/>
          <w:noProof/>
          <w:sz w:val="24"/>
          <w:lang w:eastAsia="hu-HU"/>
        </w:rPr>
        <w:drawing>
          <wp:inline distT="0" distB="0" distL="0" distR="0">
            <wp:extent cx="1811655" cy="612775"/>
            <wp:effectExtent l="1905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srcRect/>
                    <a:stretch>
                      <a:fillRect/>
                    </a:stretch>
                  </pic:blipFill>
                  <pic:spPr bwMode="auto">
                    <a:xfrm>
                      <a:off x="0" y="0"/>
                      <a:ext cx="1811655" cy="612775"/>
                    </a:xfrm>
                    <a:prstGeom prst="rect">
                      <a:avLst/>
                    </a:prstGeom>
                    <a:noFill/>
                    <a:ln w="9525">
                      <a:noFill/>
                      <a:miter lim="800000"/>
                      <a:headEnd/>
                      <a:tailEnd/>
                    </a:ln>
                  </pic:spPr>
                </pic:pic>
              </a:graphicData>
            </a:graphic>
          </wp:inline>
        </w:drawing>
      </w:r>
    </w:p>
    <w:p w:rsidR="00F75037" w:rsidRPr="00677810" w:rsidRDefault="001E0539" w:rsidP="00F75037">
      <w:pPr>
        <w:pStyle w:val="Kpalrs"/>
        <w:jc w:val="center"/>
        <w:rPr>
          <w:rFonts w:ascii="Times New Roman" w:hAnsi="Times New Roman" w:cs="Times New Roman"/>
          <w:color w:val="auto"/>
          <w:sz w:val="22"/>
        </w:rPr>
      </w:pPr>
      <w:r w:rsidRPr="00677810">
        <w:rPr>
          <w:rFonts w:ascii="Times New Roman" w:hAnsi="Times New Roman" w:cs="Times New Roman"/>
          <w:color w:val="auto"/>
          <w:sz w:val="22"/>
        </w:rPr>
        <w:fldChar w:fldCharType="begin"/>
      </w:r>
      <w:r w:rsidR="00F75037" w:rsidRPr="00677810">
        <w:rPr>
          <w:rFonts w:ascii="Times New Roman" w:hAnsi="Times New Roman" w:cs="Times New Roman"/>
          <w:color w:val="auto"/>
          <w:sz w:val="22"/>
        </w:rPr>
        <w:instrText xml:space="preserve"> SEQ ábra \* ARABIC </w:instrText>
      </w:r>
      <w:r w:rsidRPr="00677810">
        <w:rPr>
          <w:rFonts w:ascii="Times New Roman" w:hAnsi="Times New Roman" w:cs="Times New Roman"/>
          <w:color w:val="auto"/>
          <w:sz w:val="22"/>
        </w:rPr>
        <w:fldChar w:fldCharType="separate"/>
      </w:r>
      <w:proofErr w:type="gramStart"/>
      <w:r w:rsidR="00995CD7" w:rsidRPr="00677810">
        <w:rPr>
          <w:rFonts w:ascii="Times New Roman" w:hAnsi="Times New Roman" w:cs="Times New Roman"/>
          <w:color w:val="auto"/>
          <w:sz w:val="22"/>
        </w:rPr>
        <w:t>3</w:t>
      </w:r>
      <w:r w:rsidRPr="00677810">
        <w:rPr>
          <w:rFonts w:ascii="Times New Roman" w:hAnsi="Times New Roman" w:cs="Times New Roman"/>
          <w:color w:val="auto"/>
          <w:sz w:val="22"/>
        </w:rPr>
        <w:fldChar w:fldCharType="end"/>
      </w:r>
      <w:r w:rsidR="00F75037" w:rsidRPr="00677810">
        <w:rPr>
          <w:rFonts w:ascii="Times New Roman" w:hAnsi="Times New Roman" w:cs="Times New Roman"/>
          <w:color w:val="auto"/>
          <w:sz w:val="22"/>
        </w:rPr>
        <w:t>. ábra: Gömb alakú szemcse fajlagos felületének számítása mikroszkópiás adatok alapján</w:t>
      </w:r>
      <w:proofErr w:type="gramEnd"/>
      <w:r w:rsidR="00F75037" w:rsidRPr="00677810">
        <w:rPr>
          <w:rFonts w:ascii="Times New Roman" w:hAnsi="Times New Roman" w:cs="Times New Roman"/>
          <w:color w:val="auto"/>
          <w:sz w:val="22"/>
        </w:rPr>
        <w:t xml:space="preserve"> </w:t>
      </w:r>
      <w:r w:rsidRPr="00677810">
        <w:rPr>
          <w:rFonts w:ascii="Times New Roman" w:hAnsi="Times New Roman" w:cs="Times New Roman"/>
          <w:color w:val="auto"/>
          <w:sz w:val="22"/>
        </w:rPr>
        <w:fldChar w:fldCharType="begin" w:fldLock="1"/>
      </w:r>
      <w:r w:rsidR="006E4204" w:rsidRPr="00677810">
        <w:rPr>
          <w:rFonts w:ascii="Times New Roman" w:hAnsi="Times New Roman" w:cs="Times New Roman"/>
          <w:color w:val="auto"/>
          <w:sz w:val="22"/>
        </w:rPr>
        <w:instrText>ADDIN CSL_CITATION {"citationItems":[{"id":"ITEM-1","itemData":{"DOI":"10.1016/B978-0-12-409548-9.09583-X","ISBN":"9780124095489","ISSN":"0891188932","author":[{"dropping-particle":"","family":"Pennell","given":"K.D.","non-dropping-particle":"","parse-names":false,"suffix":""}],"container-title":"Reference Module in Earth Systems and Environmental Sciences","id":"ITEM-1","issue":"March 2016","issued":{"date-parts":[["2016"]]},"page":"1-8","publisher":"Elsevier","title":"Specific Surface Area","type":"chapter"},"uris":["http://www.mendeley.com/documents/?uuid=c87120c4-c962-4832-961d-c71c71782b0a"]}],"mendeley":{"formattedCitation":"[8]","plainTextFormattedCitation":"[8]","previouslyFormattedCitation":"[8]"},"properties":{"noteIndex":0},"schema":"https://github.com/citation-style-language/schema/raw/master/csl-citation.json"}</w:instrText>
      </w:r>
      <w:r w:rsidRPr="00677810">
        <w:rPr>
          <w:rFonts w:ascii="Times New Roman" w:hAnsi="Times New Roman" w:cs="Times New Roman"/>
          <w:color w:val="auto"/>
          <w:sz w:val="22"/>
        </w:rPr>
        <w:fldChar w:fldCharType="separate"/>
      </w:r>
      <w:r w:rsidR="007F2EB9" w:rsidRPr="00677810">
        <w:rPr>
          <w:rFonts w:ascii="Times New Roman" w:hAnsi="Times New Roman" w:cs="Times New Roman"/>
          <w:noProof/>
          <w:color w:val="auto"/>
          <w:sz w:val="22"/>
        </w:rPr>
        <w:t>[8]</w:t>
      </w:r>
      <w:r w:rsidRPr="00677810">
        <w:rPr>
          <w:rFonts w:ascii="Times New Roman" w:hAnsi="Times New Roman" w:cs="Times New Roman"/>
          <w:color w:val="auto"/>
          <w:sz w:val="22"/>
        </w:rPr>
        <w:fldChar w:fldCharType="end"/>
      </w:r>
    </w:p>
    <w:p w:rsidR="00F75037" w:rsidRPr="00070A1E" w:rsidRDefault="00F75037" w:rsidP="00F75037">
      <w:pPr>
        <w:jc w:val="both"/>
        <w:rPr>
          <w:rFonts w:ascii="Times New Roman" w:hAnsi="Times New Roman" w:cs="Times New Roman"/>
          <w:sz w:val="24"/>
        </w:rPr>
      </w:pPr>
      <w:r w:rsidRPr="00070A1E">
        <w:rPr>
          <w:rFonts w:ascii="Times New Roman" w:hAnsi="Times New Roman" w:cs="Times New Roman"/>
          <w:sz w:val="24"/>
        </w:rPr>
        <w:lastRenderedPageBreak/>
        <w:t xml:space="preserve"> Azonban bármennyire is jellemző méretű és alakú szemcse alapján végezzük e számításokat, az így kapott eredmény általában nagyságrendekkel kisebb, minta a valós érték az inhomogén méret, illetve a felületi egyenetlenségek miatt. Alapvetően ez a módszer tisztított homok fajlagos felületének számítására alkalmazható. </w:t>
      </w:r>
    </w:p>
    <w:p w:rsidR="006678B5" w:rsidRPr="00070A1E" w:rsidRDefault="00F75037" w:rsidP="002F2B05">
      <w:pPr>
        <w:ind w:firstLine="708"/>
        <w:jc w:val="both"/>
        <w:rPr>
          <w:rFonts w:ascii="Times New Roman" w:hAnsi="Times New Roman" w:cs="Times New Roman"/>
          <w:sz w:val="24"/>
        </w:rPr>
      </w:pPr>
      <w:r w:rsidRPr="00070A1E">
        <w:rPr>
          <w:rFonts w:ascii="Times New Roman" w:hAnsi="Times New Roman" w:cs="Times New Roman"/>
          <w:sz w:val="24"/>
        </w:rPr>
        <w:t>A mérés pontosítható röntgen diffrakciós módszer segítségével, mellyel az agyagásványok rétegtávolsága</w:t>
      </w:r>
      <w:r w:rsidR="00B6750F" w:rsidRPr="00070A1E">
        <w:rPr>
          <w:rFonts w:ascii="Times New Roman" w:hAnsi="Times New Roman" w:cs="Times New Roman"/>
          <w:sz w:val="24"/>
        </w:rPr>
        <w:t xml:space="preserve"> és cellamérete vizsgálható. Ezeket felhasználva számítható tisztán agyagásványokból álló minta fajlagos felülete. Az így kapott eredmények hasonlóak, </w:t>
      </w:r>
      <w:r w:rsidR="007F2EB9" w:rsidRPr="00070A1E">
        <w:rPr>
          <w:rFonts w:ascii="Times New Roman" w:hAnsi="Times New Roman" w:cs="Times New Roman"/>
          <w:sz w:val="24"/>
        </w:rPr>
        <w:t xml:space="preserve">mint a száraz agyagásványok </w:t>
      </w:r>
      <w:proofErr w:type="spellStart"/>
      <w:r w:rsidR="007F2EB9" w:rsidRPr="00070A1E">
        <w:rPr>
          <w:rFonts w:ascii="Times New Roman" w:hAnsi="Times New Roman" w:cs="Times New Roman"/>
          <w:sz w:val="24"/>
        </w:rPr>
        <w:t>gáz</w:t>
      </w:r>
      <w:r w:rsidR="00B6750F" w:rsidRPr="00070A1E">
        <w:rPr>
          <w:rFonts w:ascii="Times New Roman" w:hAnsi="Times New Roman" w:cs="Times New Roman"/>
          <w:sz w:val="24"/>
        </w:rPr>
        <w:t>adszorpció</w:t>
      </w:r>
      <w:proofErr w:type="spellEnd"/>
      <w:r w:rsidR="00B6750F" w:rsidRPr="00070A1E">
        <w:rPr>
          <w:rFonts w:ascii="Times New Roman" w:hAnsi="Times New Roman" w:cs="Times New Roman"/>
          <w:sz w:val="24"/>
        </w:rPr>
        <w:t xml:space="preserve"> méréséből kapottak. </w:t>
      </w:r>
      <w:proofErr w:type="gramStart"/>
      <w:r w:rsidR="00B6750F" w:rsidRPr="00070A1E">
        <w:rPr>
          <w:rFonts w:ascii="Times New Roman" w:hAnsi="Times New Roman" w:cs="Times New Roman"/>
          <w:sz w:val="24"/>
        </w:rPr>
        <w:t>Tényleges talajminták vizsgálatánál a heterogén szerkezet, különböző komponensek jelenlétén kívül az is nehezíti az alkalmazást, hogy a különböző talajalkotók felületei nem additívak egymással, ugyanis nagyon gyakori, hogy az agyagásványok felülete szerves anyagokkal, esetleg fémoxidokkal borított.</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B978-0-12-409548-9.09583-X","ISBN":"9780124095489","ISSN":"0891188932","author":[{"dropping-particle":"","family":"Pennell","given":"K.D.","non-dropping-particle":"","parse-names":false,"suffix":""}],"container-title":"Reference Module in Earth Systems and Environmental Sciences","id":"ITEM-1","issue":"March 2016","issued":{"date-parts":[["2016"]]},"page":"1-8","publisher":"Elsevier","title":"Specific Surface Area","type":"chapter"},"uris":["http://www.mendeley.com/documents/?uuid=c87120c4-c962-4832-961d-c71c71782b0a"]}],"mendeley":{"formattedCitation":"[8]","plainTextFormattedCitation":"[8]","previouslyFormattedCitation":"[8]"},"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[8]</w:t>
      </w:r>
      <w:r w:rsidR="001E0539" w:rsidRPr="00070A1E">
        <w:rPr>
          <w:rFonts w:ascii="Times New Roman" w:hAnsi="Times New Roman" w:cs="Times New Roman"/>
          <w:sz w:val="24"/>
        </w:rPr>
        <w:fldChar w:fldCharType="end"/>
      </w:r>
    </w:p>
    <w:p w:rsidR="00B6750F" w:rsidRPr="00070A1E" w:rsidRDefault="00B6750F" w:rsidP="00F75037">
      <w:pPr>
        <w:ind w:firstLine="708"/>
        <w:jc w:val="both"/>
        <w:rPr>
          <w:rFonts w:ascii="Times New Roman" w:hAnsi="Times New Roman" w:cs="Times New Roman"/>
          <w:b/>
          <w:sz w:val="24"/>
        </w:rPr>
      </w:pPr>
      <w:r w:rsidRPr="00070A1E">
        <w:rPr>
          <w:rFonts w:ascii="Times New Roman" w:hAnsi="Times New Roman" w:cs="Times New Roman"/>
          <w:b/>
          <w:sz w:val="24"/>
        </w:rPr>
        <w:t xml:space="preserve">B) </w:t>
      </w:r>
      <w:proofErr w:type="spellStart"/>
      <w:r w:rsidRPr="00070A1E">
        <w:rPr>
          <w:rFonts w:ascii="Times New Roman" w:hAnsi="Times New Roman" w:cs="Times New Roman"/>
          <w:b/>
          <w:sz w:val="24"/>
        </w:rPr>
        <w:t>Oldata</w:t>
      </w:r>
      <w:r w:rsidR="007C5648" w:rsidRPr="00070A1E">
        <w:rPr>
          <w:rFonts w:ascii="Times New Roman" w:hAnsi="Times New Roman" w:cs="Times New Roman"/>
          <w:b/>
          <w:sz w:val="24"/>
        </w:rPr>
        <w:t>d</w:t>
      </w:r>
      <w:r w:rsidRPr="00070A1E">
        <w:rPr>
          <w:rFonts w:ascii="Times New Roman" w:hAnsi="Times New Roman" w:cs="Times New Roman"/>
          <w:b/>
          <w:sz w:val="24"/>
        </w:rPr>
        <w:t>szorpció</w:t>
      </w:r>
      <w:proofErr w:type="spellEnd"/>
    </w:p>
    <w:p w:rsidR="00B6750F" w:rsidRPr="00070A1E" w:rsidRDefault="00B6750F" w:rsidP="00B6750F">
      <w:pPr>
        <w:jc w:val="both"/>
        <w:rPr>
          <w:rFonts w:ascii="Times New Roman" w:hAnsi="Times New Roman" w:cs="Times New Roman"/>
          <w:sz w:val="24"/>
        </w:rPr>
      </w:pPr>
      <w:r w:rsidRPr="00070A1E">
        <w:rPr>
          <w:rFonts w:ascii="Times New Roman" w:hAnsi="Times New Roman" w:cs="Times New Roman"/>
          <w:b/>
          <w:sz w:val="24"/>
        </w:rPr>
        <w:tab/>
      </w:r>
      <w:r w:rsidRPr="00070A1E">
        <w:rPr>
          <w:rFonts w:ascii="Times New Roman" w:hAnsi="Times New Roman" w:cs="Times New Roman"/>
          <w:sz w:val="24"/>
        </w:rPr>
        <w:t>A legelterjedtebb oldatabszorpciós módszernél</w:t>
      </w:r>
      <w:r w:rsidR="007C5648" w:rsidRPr="00070A1E">
        <w:rPr>
          <w:rFonts w:ascii="Times New Roman" w:hAnsi="Times New Roman" w:cs="Times New Roman"/>
          <w:sz w:val="24"/>
        </w:rPr>
        <w:t xml:space="preserve"> egy felületaktív anyagot,</w:t>
      </w:r>
      <w:r w:rsidRPr="00070A1E">
        <w:rPr>
          <w:rFonts w:ascii="Times New Roman" w:hAnsi="Times New Roman" w:cs="Times New Roman"/>
          <w:sz w:val="24"/>
        </w:rPr>
        <w:t xml:space="preserve"> </w:t>
      </w:r>
      <w:proofErr w:type="spellStart"/>
      <w:r w:rsidRPr="00070A1E">
        <w:rPr>
          <w:rFonts w:ascii="Times New Roman" w:hAnsi="Times New Roman" w:cs="Times New Roman"/>
          <w:sz w:val="24"/>
        </w:rPr>
        <w:t>CBP-t</w:t>
      </w:r>
      <w:proofErr w:type="spellEnd"/>
      <w:r w:rsidRPr="00070A1E">
        <w:rPr>
          <w:rFonts w:ascii="Times New Roman" w:hAnsi="Times New Roman" w:cs="Times New Roman"/>
          <w:sz w:val="24"/>
        </w:rPr>
        <w:t xml:space="preserve"> (</w:t>
      </w:r>
      <w:proofErr w:type="spellStart"/>
      <w:r w:rsidRPr="00070A1E">
        <w:rPr>
          <w:rFonts w:ascii="Times New Roman" w:hAnsi="Times New Roman" w:cs="Times New Roman"/>
          <w:sz w:val="24"/>
        </w:rPr>
        <w:t>cetil-piridinium-bromid</w:t>
      </w:r>
      <w:proofErr w:type="spellEnd"/>
      <w:r w:rsidRPr="00070A1E">
        <w:rPr>
          <w:rFonts w:ascii="Times New Roman" w:hAnsi="Times New Roman" w:cs="Times New Roman"/>
          <w:sz w:val="24"/>
        </w:rPr>
        <w:t xml:space="preserve">) </w:t>
      </w:r>
      <w:r w:rsidR="007C5648" w:rsidRPr="00070A1E">
        <w:rPr>
          <w:rFonts w:ascii="Times New Roman" w:hAnsi="Times New Roman" w:cs="Times New Roman"/>
          <w:sz w:val="24"/>
        </w:rPr>
        <w:t>használnak, ami UV-VIS abszorpciós módszerrel detektálható. A legtöbb ásványi felületen ez az anyag kettősréteget képez, 0,27 nm</w:t>
      </w:r>
      <w:r w:rsidR="007C5648" w:rsidRPr="00070A1E">
        <w:rPr>
          <w:rFonts w:ascii="Times New Roman" w:hAnsi="Times New Roman" w:cs="Times New Roman"/>
          <w:sz w:val="24"/>
          <w:vertAlign w:val="superscript"/>
        </w:rPr>
        <w:t>2</w:t>
      </w:r>
      <w:r w:rsidR="007C5648" w:rsidRPr="00070A1E">
        <w:rPr>
          <w:rFonts w:ascii="Times New Roman" w:hAnsi="Times New Roman" w:cs="Times New Roman"/>
          <w:sz w:val="24"/>
        </w:rPr>
        <w:t xml:space="preserve"> molekulaterülettel. </w:t>
      </w:r>
      <w:r w:rsidR="007F2EB9" w:rsidRPr="00070A1E">
        <w:rPr>
          <w:rFonts w:ascii="Times New Roman" w:hAnsi="Times New Roman" w:cs="Times New Roman"/>
          <w:sz w:val="24"/>
        </w:rPr>
        <w:t>Ha a</w:t>
      </w:r>
      <w:r w:rsidR="007C5648" w:rsidRPr="00070A1E">
        <w:rPr>
          <w:rFonts w:ascii="Times New Roman" w:hAnsi="Times New Roman" w:cs="Times New Roman"/>
          <w:sz w:val="24"/>
        </w:rPr>
        <w:t xml:space="preserve"> határrétegbeli koncentráció ismert (UV-VIS mérés), akkor a fajlagos felület számítható. A mérés hatékonyságát rontja a vas- és alumínium-oxidok jelenléte, melyeknek felületi töltéssűrűsége kicsi, és emiatt nem alakul ki a kettősréteg. Ezeket a vizsgálat előtt el kell távolítani. Nedvesség hatására </w:t>
      </w:r>
      <w:r w:rsidR="004A3830" w:rsidRPr="00070A1E">
        <w:rPr>
          <w:rFonts w:ascii="Times New Roman" w:hAnsi="Times New Roman" w:cs="Times New Roman"/>
          <w:sz w:val="24"/>
        </w:rPr>
        <w:t>duzzadó</w:t>
      </w:r>
      <w:r w:rsidR="007C5648" w:rsidRPr="00070A1E">
        <w:rPr>
          <w:rFonts w:ascii="Times New Roman" w:hAnsi="Times New Roman" w:cs="Times New Roman"/>
          <w:sz w:val="24"/>
        </w:rPr>
        <w:t xml:space="preserve"> agyagásványok esetén (pl. </w:t>
      </w:r>
      <w:proofErr w:type="spellStart"/>
      <w:r w:rsidR="007C5648" w:rsidRPr="00070A1E">
        <w:rPr>
          <w:rFonts w:ascii="Times New Roman" w:hAnsi="Times New Roman" w:cs="Times New Roman"/>
          <w:sz w:val="24"/>
        </w:rPr>
        <w:t>montmorrilonit</w:t>
      </w:r>
      <w:proofErr w:type="spellEnd"/>
      <w:r w:rsidR="007C5648" w:rsidRPr="00070A1E">
        <w:rPr>
          <w:rFonts w:ascii="Times New Roman" w:hAnsi="Times New Roman" w:cs="Times New Roman"/>
          <w:sz w:val="24"/>
        </w:rPr>
        <w:t xml:space="preserve">) a kettősréteg a rétegközi </w:t>
      </w:r>
      <w:r w:rsidR="00B840C7" w:rsidRPr="00070A1E">
        <w:rPr>
          <w:rFonts w:ascii="Times New Roman" w:hAnsi="Times New Roman" w:cs="Times New Roman"/>
          <w:sz w:val="24"/>
        </w:rPr>
        <w:t>résekben</w:t>
      </w:r>
      <w:r w:rsidR="007C5648" w:rsidRPr="00070A1E">
        <w:rPr>
          <w:rFonts w:ascii="Times New Roman" w:hAnsi="Times New Roman" w:cs="Times New Roman"/>
          <w:sz w:val="24"/>
        </w:rPr>
        <w:t xml:space="preserve"> alakul ki,</w:t>
      </w:r>
      <w:r w:rsidR="00B840C7" w:rsidRPr="00070A1E">
        <w:rPr>
          <w:rFonts w:ascii="Times New Roman" w:hAnsi="Times New Roman" w:cs="Times New Roman"/>
          <w:sz w:val="24"/>
        </w:rPr>
        <w:t xml:space="preserve"> ezért</w:t>
      </w:r>
      <w:r w:rsidR="007C5648" w:rsidRPr="00070A1E">
        <w:rPr>
          <w:rFonts w:ascii="Times New Roman" w:hAnsi="Times New Roman" w:cs="Times New Roman"/>
          <w:sz w:val="24"/>
        </w:rPr>
        <w:t xml:space="preserve"> duplán kell számítani a molekulaterületet (0,54 nm</w:t>
      </w:r>
      <w:r w:rsidR="007C5648" w:rsidRPr="00070A1E">
        <w:rPr>
          <w:rFonts w:ascii="Times New Roman" w:hAnsi="Times New Roman" w:cs="Times New Roman"/>
          <w:sz w:val="24"/>
          <w:vertAlign w:val="superscript"/>
        </w:rPr>
        <w:t>2</w:t>
      </w:r>
      <w:r w:rsidR="007C5648" w:rsidRPr="00070A1E">
        <w:rPr>
          <w:rFonts w:ascii="Times New Roman" w:hAnsi="Times New Roman" w:cs="Times New Roman"/>
          <w:sz w:val="24"/>
        </w:rPr>
        <w:t>). A pontos meghatározáshoz ismerni kell a külső fajlagos felületet (</w:t>
      </w:r>
      <w:proofErr w:type="spellStart"/>
      <w:r w:rsidR="007C5648" w:rsidRPr="00070A1E">
        <w:rPr>
          <w:rFonts w:ascii="Times New Roman" w:hAnsi="Times New Roman" w:cs="Times New Roman"/>
          <w:sz w:val="24"/>
        </w:rPr>
        <w:t>gázadszorpció</w:t>
      </w:r>
      <w:proofErr w:type="spellEnd"/>
      <w:r w:rsidR="007C5648" w:rsidRPr="00070A1E">
        <w:rPr>
          <w:rFonts w:ascii="Times New Roman" w:hAnsi="Times New Roman" w:cs="Times New Roman"/>
          <w:sz w:val="24"/>
        </w:rPr>
        <w:t xml:space="preserve">), hogy annak oldat adszorpcióhoz való hozzájárulását figyelembe lehessen venni. </w:t>
      </w:r>
      <w:proofErr w:type="gramStart"/>
      <w:r w:rsidR="007C5648" w:rsidRPr="00070A1E">
        <w:rPr>
          <w:rFonts w:ascii="Times New Roman" w:hAnsi="Times New Roman" w:cs="Times New Roman"/>
          <w:sz w:val="24"/>
        </w:rPr>
        <w:t xml:space="preserve">Alternatívaként </w:t>
      </w:r>
      <w:proofErr w:type="spellStart"/>
      <w:r w:rsidR="007C5648" w:rsidRPr="00070A1E">
        <w:rPr>
          <w:rFonts w:ascii="Times New Roman" w:hAnsi="Times New Roman" w:cs="Times New Roman"/>
          <w:sz w:val="24"/>
        </w:rPr>
        <w:t>metilénkék</w:t>
      </w:r>
      <w:proofErr w:type="spellEnd"/>
      <w:r w:rsidR="007C5648" w:rsidRPr="00070A1E">
        <w:rPr>
          <w:rFonts w:ascii="Times New Roman" w:hAnsi="Times New Roman" w:cs="Times New Roman"/>
          <w:sz w:val="24"/>
        </w:rPr>
        <w:t xml:space="preserve"> is alkalmazható, ami </w:t>
      </w:r>
      <w:proofErr w:type="spellStart"/>
      <w:r w:rsidR="007C5648" w:rsidRPr="00070A1E">
        <w:rPr>
          <w:rFonts w:ascii="Times New Roman" w:hAnsi="Times New Roman" w:cs="Times New Roman"/>
          <w:sz w:val="24"/>
        </w:rPr>
        <w:t>monoréteget</w:t>
      </w:r>
      <w:proofErr w:type="spellEnd"/>
      <w:r w:rsidR="007C5648" w:rsidRPr="00070A1E">
        <w:rPr>
          <w:rFonts w:ascii="Times New Roman" w:hAnsi="Times New Roman" w:cs="Times New Roman"/>
          <w:sz w:val="24"/>
        </w:rPr>
        <w:t xml:space="preserve"> képez.</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B978-0-12-409548-9.09583-X","ISBN":"9780124095489","ISSN":"0891188932","author":[{"dropping-particle":"","family":"Pennell","given":"K.D.","non-dropping-particle":"","parse-names":false,"suffix":""}],"container-title":"Reference Module in Earth Systems and Environmental Sciences","id":"ITEM-1","issue":"March 2016","issued":{"date-parts":[["2016"]]},"page":"1-8","publisher":"Elsevier","title":"Specific Surface Area","type":"chapter"},"uris":["http://www.mendeley.com/documents/?uuid=c87120c4-c962-4832-961d-c71c71782b0a"]}],"mendeley":{"formattedCitation":"[8]","plainTextFormattedCitation":"[8]","previouslyFormattedCitation":"[8]"},"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[8]</w:t>
      </w:r>
      <w:r w:rsidR="001E0539" w:rsidRPr="00070A1E">
        <w:rPr>
          <w:rFonts w:ascii="Times New Roman" w:hAnsi="Times New Roman" w:cs="Times New Roman"/>
          <w:sz w:val="24"/>
        </w:rPr>
        <w:fldChar w:fldCharType="end"/>
      </w:r>
    </w:p>
    <w:p w:rsidR="004A128E" w:rsidRPr="00070A1E" w:rsidRDefault="004A128E" w:rsidP="00B6750F">
      <w:pPr>
        <w:jc w:val="both"/>
        <w:rPr>
          <w:rFonts w:ascii="Times New Roman" w:hAnsi="Times New Roman" w:cs="Times New Roman"/>
          <w:b/>
          <w:sz w:val="24"/>
        </w:rPr>
      </w:pPr>
      <w:r w:rsidRPr="00070A1E">
        <w:rPr>
          <w:rFonts w:ascii="Times New Roman" w:hAnsi="Times New Roman" w:cs="Times New Roman"/>
          <w:sz w:val="24"/>
        </w:rPr>
        <w:tab/>
      </w:r>
      <w:r w:rsidRPr="00070A1E">
        <w:rPr>
          <w:rFonts w:ascii="Times New Roman" w:hAnsi="Times New Roman" w:cs="Times New Roman"/>
          <w:b/>
          <w:sz w:val="24"/>
        </w:rPr>
        <w:t xml:space="preserve">C) </w:t>
      </w:r>
      <w:proofErr w:type="spellStart"/>
      <w:r w:rsidRPr="00070A1E">
        <w:rPr>
          <w:rFonts w:ascii="Times New Roman" w:hAnsi="Times New Roman" w:cs="Times New Roman"/>
          <w:b/>
          <w:sz w:val="24"/>
        </w:rPr>
        <w:t>Gázadszorpció</w:t>
      </w:r>
      <w:proofErr w:type="spellEnd"/>
      <w:r w:rsidRPr="00070A1E">
        <w:rPr>
          <w:rFonts w:ascii="Times New Roman" w:hAnsi="Times New Roman" w:cs="Times New Roman"/>
          <w:b/>
          <w:sz w:val="24"/>
        </w:rPr>
        <w:t xml:space="preserve"> </w:t>
      </w:r>
    </w:p>
    <w:p w:rsidR="004A128E" w:rsidRPr="00070A1E" w:rsidRDefault="004A128E" w:rsidP="00B6750F">
      <w:pPr>
        <w:jc w:val="both"/>
        <w:rPr>
          <w:rFonts w:ascii="Times New Roman" w:hAnsi="Times New Roman" w:cs="Times New Roman"/>
          <w:sz w:val="24"/>
        </w:rPr>
      </w:pPr>
      <w:r w:rsidRPr="00070A1E">
        <w:rPr>
          <w:rFonts w:ascii="Times New Roman" w:hAnsi="Times New Roman" w:cs="Times New Roman"/>
          <w:b/>
          <w:sz w:val="24"/>
        </w:rPr>
        <w:tab/>
      </w:r>
      <w:r w:rsidR="00A07075" w:rsidRPr="00070A1E">
        <w:rPr>
          <w:rFonts w:ascii="Times New Roman" w:hAnsi="Times New Roman" w:cs="Times New Roman"/>
          <w:sz w:val="24"/>
        </w:rPr>
        <w:t>Más szilárd anyagokhoz hasonlóan</w:t>
      </w:r>
      <w:r w:rsidR="00B840C7" w:rsidRPr="00070A1E">
        <w:rPr>
          <w:rFonts w:ascii="Times New Roman" w:hAnsi="Times New Roman" w:cs="Times New Roman"/>
          <w:sz w:val="24"/>
        </w:rPr>
        <w:t>,</w:t>
      </w:r>
      <w:r w:rsidR="00A07075" w:rsidRPr="00070A1E">
        <w:rPr>
          <w:rFonts w:ascii="Times New Roman" w:hAnsi="Times New Roman" w:cs="Times New Roman"/>
          <w:sz w:val="24"/>
        </w:rPr>
        <w:t xml:space="preserve"> talajminták is vizsgálhatóak hagyományos </w:t>
      </w:r>
      <w:proofErr w:type="spellStart"/>
      <w:r w:rsidR="00A07075" w:rsidRPr="00070A1E">
        <w:rPr>
          <w:rFonts w:ascii="Times New Roman" w:hAnsi="Times New Roman" w:cs="Times New Roman"/>
          <w:sz w:val="24"/>
        </w:rPr>
        <w:t>gázadszorpcióval</w:t>
      </w:r>
      <w:proofErr w:type="spellEnd"/>
      <w:r w:rsidR="00A07075" w:rsidRPr="00070A1E">
        <w:rPr>
          <w:rFonts w:ascii="Times New Roman" w:hAnsi="Times New Roman" w:cs="Times New Roman"/>
          <w:sz w:val="24"/>
        </w:rPr>
        <w:t>. A jellemző kiértékelési mód ezeknél a BET modell.</w:t>
      </w:r>
      <w:r w:rsidR="00E038C7" w:rsidRPr="00070A1E">
        <w:rPr>
          <w:rFonts w:ascii="Times New Roman" w:hAnsi="Times New Roman" w:cs="Times New Roman"/>
          <w:sz w:val="24"/>
        </w:rPr>
        <w:t xml:space="preserve"> A talajmintákra alapvetően jellemző, hogy </w:t>
      </w:r>
      <w:proofErr w:type="spellStart"/>
      <w:r w:rsidR="00E038C7" w:rsidRPr="00070A1E">
        <w:rPr>
          <w:rFonts w:ascii="Times New Roman" w:hAnsi="Times New Roman" w:cs="Times New Roman"/>
          <w:sz w:val="24"/>
        </w:rPr>
        <w:t>gázadszorpciós</w:t>
      </w:r>
      <w:proofErr w:type="spellEnd"/>
      <w:r w:rsidR="00E038C7" w:rsidRPr="00070A1E">
        <w:rPr>
          <w:rFonts w:ascii="Times New Roman" w:hAnsi="Times New Roman" w:cs="Times New Roman"/>
          <w:sz w:val="24"/>
        </w:rPr>
        <w:t xml:space="preserve"> mérések során </w:t>
      </w:r>
      <w:proofErr w:type="spellStart"/>
      <w:r w:rsidR="00E038C7" w:rsidRPr="00070A1E">
        <w:rPr>
          <w:rFonts w:ascii="Times New Roman" w:hAnsi="Times New Roman" w:cs="Times New Roman"/>
          <w:sz w:val="24"/>
        </w:rPr>
        <w:t>II-es</w:t>
      </w:r>
      <w:proofErr w:type="spellEnd"/>
      <w:r w:rsidR="00E038C7" w:rsidRPr="00070A1E">
        <w:rPr>
          <w:rFonts w:ascii="Times New Roman" w:hAnsi="Times New Roman" w:cs="Times New Roman"/>
          <w:sz w:val="24"/>
        </w:rPr>
        <w:t xml:space="preserve"> típusú adszorpciós izotermát eredményeznek, ami rétegképzéses adszorpciót jelent, méghozzá </w:t>
      </w:r>
      <w:proofErr w:type="spellStart"/>
      <w:r w:rsidR="00E038C7" w:rsidRPr="00070A1E">
        <w:rPr>
          <w:rFonts w:ascii="Times New Roman" w:hAnsi="Times New Roman" w:cs="Times New Roman"/>
          <w:sz w:val="24"/>
        </w:rPr>
        <w:t>többrétegben</w:t>
      </w:r>
      <w:proofErr w:type="spellEnd"/>
      <w:r w:rsidR="00E038C7" w:rsidRPr="00070A1E">
        <w:rPr>
          <w:rFonts w:ascii="Times New Roman" w:hAnsi="Times New Roman" w:cs="Times New Roman"/>
          <w:sz w:val="24"/>
        </w:rPr>
        <w:t>. A minta előzetes kezelése nagyban meghatározza a mérés eredményétét. A szerves anyagok eltávolítása például (hidrogén-peroxidos</w:t>
      </w:r>
      <w:r w:rsidR="00747945" w:rsidRPr="00070A1E">
        <w:rPr>
          <w:rFonts w:ascii="Times New Roman" w:hAnsi="Times New Roman" w:cs="Times New Roman"/>
          <w:sz w:val="24"/>
        </w:rPr>
        <w:t xml:space="preserve">/ </w:t>
      </w:r>
      <w:proofErr w:type="spellStart"/>
      <w:r w:rsidR="00747945" w:rsidRPr="00070A1E">
        <w:rPr>
          <w:rFonts w:ascii="Times New Roman" w:hAnsi="Times New Roman" w:cs="Times New Roman"/>
          <w:sz w:val="24"/>
        </w:rPr>
        <w:t>NaOCl-es</w:t>
      </w:r>
      <w:proofErr w:type="spellEnd"/>
      <w:r w:rsidR="00E038C7" w:rsidRPr="00070A1E">
        <w:rPr>
          <w:rFonts w:ascii="Times New Roman" w:hAnsi="Times New Roman" w:cs="Times New Roman"/>
          <w:sz w:val="24"/>
        </w:rPr>
        <w:t xml:space="preserve"> kezeléssel) gyakran vezet nagyobb fajlagos felülethez, ugyanis a szerves molekulák által egybetartott ásványi szemcse-agglomerátumok felbomlanak. Ez akár nagyságrendi növekedést is eredményezhet. A mérés előtt a mintát szárítani kell, ezért a </w:t>
      </w:r>
      <w:r w:rsidR="00B840C7" w:rsidRPr="00070A1E">
        <w:rPr>
          <w:rFonts w:ascii="Times New Roman" w:hAnsi="Times New Roman" w:cs="Times New Roman"/>
          <w:sz w:val="24"/>
        </w:rPr>
        <w:t>duzzadó</w:t>
      </w:r>
      <w:r w:rsidR="00E038C7" w:rsidRPr="00070A1E">
        <w:rPr>
          <w:rFonts w:ascii="Times New Roman" w:hAnsi="Times New Roman" w:cs="Times New Roman"/>
          <w:sz w:val="24"/>
        </w:rPr>
        <w:t xml:space="preserve"> agyagásványok összeomlanak, így a rétegközi felületek nem lesznek mérhetőek. </w:t>
      </w:r>
      <w:proofErr w:type="gramStart"/>
      <w:r w:rsidR="00E038C7" w:rsidRPr="00070A1E">
        <w:rPr>
          <w:rFonts w:ascii="Times New Roman" w:hAnsi="Times New Roman" w:cs="Times New Roman"/>
          <w:sz w:val="24"/>
        </w:rPr>
        <w:t xml:space="preserve">Levegőn szárítás a </w:t>
      </w:r>
      <w:proofErr w:type="spellStart"/>
      <w:r w:rsidR="00E038C7" w:rsidRPr="00070A1E">
        <w:rPr>
          <w:rFonts w:ascii="Times New Roman" w:hAnsi="Times New Roman" w:cs="Times New Roman"/>
          <w:sz w:val="24"/>
        </w:rPr>
        <w:t>huminsavak</w:t>
      </w:r>
      <w:proofErr w:type="spellEnd"/>
      <w:r w:rsidR="00E038C7" w:rsidRPr="00070A1E">
        <w:rPr>
          <w:rFonts w:ascii="Times New Roman" w:hAnsi="Times New Roman" w:cs="Times New Roman"/>
          <w:sz w:val="24"/>
        </w:rPr>
        <w:t xml:space="preserve"> zsugorodásához vezet, ami elkerülhető fagyasztva szárítással, amikor is megőrzik eredeti szerkezetüket a szerves </w:t>
      </w:r>
      <w:r w:rsidR="00747945" w:rsidRPr="00070A1E">
        <w:rPr>
          <w:rFonts w:ascii="Times New Roman" w:hAnsi="Times New Roman" w:cs="Times New Roman"/>
          <w:sz w:val="24"/>
        </w:rPr>
        <w:t>struktúrák</w:t>
      </w:r>
      <w:r w:rsidR="00E038C7" w:rsidRPr="00070A1E">
        <w:rPr>
          <w:rFonts w:ascii="Times New Roman" w:hAnsi="Times New Roman" w:cs="Times New Roman"/>
          <w:sz w:val="24"/>
        </w:rPr>
        <w:t>, így nagyobb fajlagos felületet eredményezve.</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B978-0-12-409548-9.09583-X","ISBN":"9780124095489","ISSN":"0891188932","author":[{"dropping-particle":"","family":"Pennell","given":"K.D.","non-dropping-particle":"","parse-names":false,"suffix":""}],"container-title":"Reference Module in Earth Systems and Environmental Sciences","id":"ITEM-1","issue":"March 2016","issued":{"date-parts":[["2016"]]},"page":"1-8","publisher":"Elsevier","title":"Specific Surface Area","type":"chapter"},"uris":["http://www.mendeley.com/documents/?uuid=c87120c4-c962-4832-961d-c71c71782b0a"]}],"mendeley":{"formattedCitation":"[8]","plainTextFormattedCitation":"[8]","previouslyFormattedCitation":"[8]"},"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[8]</w:t>
      </w:r>
      <w:r w:rsidR="001E0539" w:rsidRPr="00070A1E">
        <w:rPr>
          <w:rFonts w:ascii="Times New Roman" w:hAnsi="Times New Roman" w:cs="Times New Roman"/>
          <w:sz w:val="24"/>
        </w:rPr>
        <w:fldChar w:fldCharType="end"/>
      </w:r>
      <w:r w:rsidR="00747945" w:rsidRPr="00070A1E">
        <w:rPr>
          <w:rFonts w:ascii="Times New Roman" w:hAnsi="Times New Roman" w:cs="Times New Roman"/>
          <w:sz w:val="24"/>
        </w:rPr>
        <w:t xml:space="preserve"> </w:t>
      </w:r>
      <w:proofErr w:type="gramStart"/>
      <w:r w:rsidR="00747945" w:rsidRPr="00070A1E">
        <w:rPr>
          <w:rFonts w:ascii="Times New Roman" w:hAnsi="Times New Roman" w:cs="Times New Roman"/>
          <w:sz w:val="24"/>
        </w:rPr>
        <w:t xml:space="preserve">Fontos megjegyezni, hogy a szerves anyagok eltávolítása nem feltétlenül előnyös, ugyanis jelenleg nem ismert olyan </w:t>
      </w:r>
      <w:r w:rsidR="00234373" w:rsidRPr="00070A1E">
        <w:rPr>
          <w:rFonts w:ascii="Times New Roman" w:hAnsi="Times New Roman" w:cs="Times New Roman"/>
          <w:sz w:val="24"/>
        </w:rPr>
        <w:t>módszer</w:t>
      </w:r>
      <w:r w:rsidR="00747945" w:rsidRPr="00070A1E">
        <w:rPr>
          <w:rFonts w:ascii="Times New Roman" w:hAnsi="Times New Roman" w:cs="Times New Roman"/>
          <w:sz w:val="24"/>
        </w:rPr>
        <w:t>, ami közben nem módosítaná a minta felületét is, ezáltal hamisítva az eredményt.</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{"citationItems":[{"id":"ITEM-1","itemData":{"DOI":"10.1016/j.geoderma.2013.10.015","ISSN":"00167061","abstract":"The specific surface area (SSA) of soils is a basic property and closely related to other physical and chemical properties like e.g. cation exchange capacity, clay content, organic matter content, porosity and hydrodynamic and geotechnical characteristics. Therefore, the SSA of soils has been measured frequently for decades. However, no universal method to determine SSA exists. The existing methods can generally be grouped into two categories, the adsorption of gases and the adsorption of polar liquids or molecules from solution. Depending on the method applied, the SSA of a soil can vary, as by these different methods, different surfaces of the soil are determined. The most frequently used representatives of these two groups for measuring SSA of soils are the physisorption of nitrogen gas at 77K (BET-N2) for the gas adsorption methods, yielding the external surface area of the mineral particles, and the retention of ethylene glycol monoethyl ether (EGME) for the adsorption of polar liquids, probing the total surface area including interlayers of clay minerals and micropores of organic material. Studies dealing with the determination of SSA of soils are numerous, and it has also been shown that the resulting SSA values differ not only depending on the method but also on the sorbate used and the sample pretreatment. This review shortly presents the principles of these methods and emphasises their limitations and difficulties, when applied to soil samples, like sample pretreatment, (micro-)porosity and attachment of organic material to mineral surfaces. In particular the drying of the samples prior to measurement seems to be crucial for the results obtained. Recommendations are given in order to improve the quality of the data and to facilitate the comparability of SSA data of different studies. It is shown for clayey soil samples that the relationship between BET-N2 and EGME SSA depends predominantly on the type of clay mineral and not on the content of organic material. Thus, from the SSA measurements, an estimation of the dominant clay mineral seems possible. Consequently, a suitable combination of various SSA determination methods together with related techniques can result in a more detailed characterisation of the reactive interface of a soil to the liquid and gaseous phases. © 2013 Elsevier B.V.","author":[{"dropping-particle":"","family":"Heister","given":"Katja","non-dropping-particle":"","parse-names":false,"suffix":""}],"container-title":"Geoderma","id":"ITEM-1","issued":{"date-parts":[["2014"]]},"page":"75-87","publisher":"Elsevier B.V.","title":"The measurement of the specific surface area of soils by gas and polar liquid adsorption methods-limitations and potentials","type":"article-journal","volume":"216"},"uris":["http://www.mendeley.com/documents/?uuid=d7d8520f-2bda-4b29-9154-4d9c32f9afce"]}],"mendeley":{"formattedCitation":"[9]","plainTextFormattedCitation":"[9]","previouslyFormattedCitation":"[9]"},"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[9]</w:t>
      </w:r>
      <w:r w:rsidR="001E0539" w:rsidRPr="00070A1E">
        <w:rPr>
          <w:rFonts w:ascii="Times New Roman" w:hAnsi="Times New Roman" w:cs="Times New Roman"/>
          <w:sz w:val="24"/>
        </w:rPr>
        <w:fldChar w:fldCharType="end"/>
      </w:r>
    </w:p>
    <w:p w:rsidR="00747945" w:rsidRPr="00070A1E" w:rsidRDefault="00747945" w:rsidP="00B6750F">
      <w:pPr>
        <w:jc w:val="both"/>
        <w:rPr>
          <w:rFonts w:ascii="Times New Roman" w:hAnsi="Times New Roman" w:cs="Times New Roman"/>
          <w:sz w:val="24"/>
        </w:rPr>
      </w:pPr>
    </w:p>
    <w:p w:rsidR="00747945" w:rsidRPr="00070A1E" w:rsidRDefault="00677810" w:rsidP="00B6750F">
      <w:pPr>
        <w:jc w:val="both"/>
        <w:rPr>
          <w:rFonts w:ascii="Times New Roman" w:hAnsi="Times New Roman" w:cs="Times New Roman"/>
          <w:sz w:val="24"/>
        </w:rPr>
      </w:pPr>
      <w:r>
        <w:rPr>
          <w:rFonts w:ascii="Times New Roman" w:hAnsi="Times New Roman" w:cs="Times New Roman"/>
          <w:noProof/>
          <w:sz w:val="24"/>
          <w:lang w:eastAsia="hu-HU"/>
        </w:rPr>
        <w:lastRenderedPageBreak/>
        <w:drawing>
          <wp:anchor distT="0" distB="0" distL="114300" distR="114300" simplePos="0" relativeHeight="251658240" behindDoc="1" locked="0" layoutInCell="1" allowOverlap="1">
            <wp:simplePos x="0" y="0"/>
            <wp:positionH relativeFrom="column">
              <wp:posOffset>-70485</wp:posOffset>
            </wp:positionH>
            <wp:positionV relativeFrom="paragraph">
              <wp:posOffset>-434340</wp:posOffset>
            </wp:positionV>
            <wp:extent cx="1584960" cy="2259965"/>
            <wp:effectExtent l="19050" t="0" r="0" b="0"/>
            <wp:wrapNone/>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1584960" cy="2259965"/>
                    </a:xfrm>
                    <a:prstGeom prst="rect">
                      <a:avLst/>
                    </a:prstGeom>
                    <a:noFill/>
                    <a:ln w="9525">
                      <a:noFill/>
                      <a:miter lim="800000"/>
                      <a:headEnd/>
                      <a:tailEnd/>
                    </a:ln>
                  </pic:spPr>
                </pic:pic>
              </a:graphicData>
            </a:graphic>
          </wp:anchor>
        </w:drawing>
      </w:r>
      <w:r>
        <w:rPr>
          <w:rFonts w:ascii="Times New Roman" w:hAnsi="Times New Roman" w:cs="Times New Roman"/>
          <w:noProof/>
          <w:sz w:val="24"/>
          <w:lang w:eastAsia="hu-HU"/>
        </w:rPr>
        <w:drawing>
          <wp:anchor distT="0" distB="0" distL="114300" distR="114300" simplePos="0" relativeHeight="251659264" behindDoc="1" locked="0" layoutInCell="1" allowOverlap="1">
            <wp:simplePos x="0" y="0"/>
            <wp:positionH relativeFrom="column">
              <wp:posOffset>1784350</wp:posOffset>
            </wp:positionH>
            <wp:positionV relativeFrom="paragraph">
              <wp:posOffset>-296545</wp:posOffset>
            </wp:positionV>
            <wp:extent cx="3713480" cy="2121535"/>
            <wp:effectExtent l="19050" t="0" r="1270" b="0"/>
            <wp:wrapNone/>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cstate="print"/>
                    <a:srcRect/>
                    <a:stretch>
                      <a:fillRect/>
                    </a:stretch>
                  </pic:blipFill>
                  <pic:spPr bwMode="auto">
                    <a:xfrm>
                      <a:off x="0" y="0"/>
                      <a:ext cx="3713480" cy="2121535"/>
                    </a:xfrm>
                    <a:prstGeom prst="rect">
                      <a:avLst/>
                    </a:prstGeom>
                    <a:noFill/>
                    <a:ln w="9525">
                      <a:noFill/>
                      <a:miter lim="800000"/>
                      <a:headEnd/>
                      <a:tailEnd/>
                    </a:ln>
                  </pic:spPr>
                </pic:pic>
              </a:graphicData>
            </a:graphic>
          </wp:anchor>
        </w:drawing>
      </w:r>
    </w:p>
    <w:p w:rsidR="00747945" w:rsidRPr="00070A1E" w:rsidRDefault="00747945" w:rsidP="00B6750F">
      <w:pPr>
        <w:jc w:val="both"/>
        <w:rPr>
          <w:rFonts w:ascii="Times New Roman" w:hAnsi="Times New Roman" w:cs="Times New Roman"/>
          <w:sz w:val="24"/>
        </w:rPr>
      </w:pPr>
    </w:p>
    <w:p w:rsidR="00747945" w:rsidRPr="00070A1E" w:rsidRDefault="00747945" w:rsidP="00B6750F">
      <w:pPr>
        <w:jc w:val="both"/>
        <w:rPr>
          <w:rFonts w:ascii="Times New Roman" w:hAnsi="Times New Roman" w:cs="Times New Roman"/>
          <w:sz w:val="24"/>
        </w:rPr>
      </w:pPr>
    </w:p>
    <w:p w:rsidR="00747945" w:rsidRPr="00070A1E" w:rsidRDefault="00747945" w:rsidP="00B6750F">
      <w:pPr>
        <w:jc w:val="both"/>
        <w:rPr>
          <w:rFonts w:ascii="Times New Roman" w:hAnsi="Times New Roman" w:cs="Times New Roman"/>
          <w:sz w:val="24"/>
        </w:rPr>
      </w:pPr>
    </w:p>
    <w:p w:rsidR="00747945" w:rsidRPr="00070A1E" w:rsidRDefault="00747945" w:rsidP="00B6750F">
      <w:pPr>
        <w:jc w:val="both"/>
        <w:rPr>
          <w:rFonts w:ascii="Times New Roman" w:hAnsi="Times New Roman" w:cs="Times New Roman"/>
          <w:sz w:val="24"/>
        </w:rPr>
      </w:pPr>
    </w:p>
    <w:p w:rsidR="00747945" w:rsidRPr="00070A1E" w:rsidRDefault="00747945" w:rsidP="00B6750F">
      <w:pPr>
        <w:jc w:val="both"/>
        <w:rPr>
          <w:rFonts w:ascii="Times New Roman" w:hAnsi="Times New Roman" w:cs="Times New Roman"/>
          <w:sz w:val="24"/>
        </w:rPr>
      </w:pPr>
    </w:p>
    <w:p w:rsidR="00747945" w:rsidRPr="00677810" w:rsidRDefault="001E0539" w:rsidP="00677810">
      <w:pPr>
        <w:pStyle w:val="Kpalrs"/>
        <w:ind w:firstLine="708"/>
        <w:jc w:val="center"/>
        <w:rPr>
          <w:rFonts w:ascii="Times New Roman" w:hAnsi="Times New Roman" w:cs="Times New Roman"/>
          <w:color w:val="auto"/>
          <w:sz w:val="22"/>
        </w:rPr>
      </w:pPr>
      <w:r w:rsidRPr="00677810">
        <w:rPr>
          <w:rFonts w:ascii="Times New Roman" w:hAnsi="Times New Roman" w:cs="Times New Roman"/>
          <w:color w:val="auto"/>
          <w:sz w:val="22"/>
        </w:rPr>
        <w:fldChar w:fldCharType="begin"/>
      </w:r>
      <w:r w:rsidR="00747945" w:rsidRPr="00677810">
        <w:rPr>
          <w:rFonts w:ascii="Times New Roman" w:hAnsi="Times New Roman" w:cs="Times New Roman"/>
          <w:color w:val="auto"/>
          <w:sz w:val="22"/>
        </w:rPr>
        <w:instrText xml:space="preserve"> SEQ ábra \* ARABIC </w:instrText>
      </w:r>
      <w:r w:rsidRPr="00677810">
        <w:rPr>
          <w:rFonts w:ascii="Times New Roman" w:hAnsi="Times New Roman" w:cs="Times New Roman"/>
          <w:color w:val="auto"/>
          <w:sz w:val="22"/>
        </w:rPr>
        <w:fldChar w:fldCharType="separate"/>
      </w:r>
      <w:proofErr w:type="gramStart"/>
      <w:r w:rsidR="00995CD7" w:rsidRPr="00677810">
        <w:rPr>
          <w:rFonts w:ascii="Times New Roman" w:hAnsi="Times New Roman" w:cs="Times New Roman"/>
          <w:color w:val="auto"/>
          <w:sz w:val="22"/>
        </w:rPr>
        <w:t>4</w:t>
      </w:r>
      <w:r w:rsidRPr="00677810">
        <w:rPr>
          <w:rFonts w:ascii="Times New Roman" w:hAnsi="Times New Roman" w:cs="Times New Roman"/>
          <w:color w:val="auto"/>
          <w:sz w:val="22"/>
        </w:rPr>
        <w:fldChar w:fldCharType="end"/>
      </w:r>
      <w:r w:rsidR="00747945" w:rsidRPr="00677810">
        <w:rPr>
          <w:rFonts w:ascii="Times New Roman" w:hAnsi="Times New Roman" w:cs="Times New Roman"/>
          <w:color w:val="auto"/>
          <w:sz w:val="22"/>
        </w:rPr>
        <w:t>. ábra: Izotermatípusok</w:t>
      </w:r>
      <w:proofErr w:type="gramEnd"/>
      <w:r w:rsidRPr="00677810">
        <w:rPr>
          <w:rFonts w:ascii="Times New Roman" w:hAnsi="Times New Roman" w:cs="Times New Roman"/>
          <w:color w:val="auto"/>
          <w:sz w:val="22"/>
        </w:rPr>
        <w:fldChar w:fldCharType="begin" w:fldLock="1"/>
      </w:r>
      <w:r w:rsidR="006E4204" w:rsidRPr="00677810">
        <w:rPr>
          <w:rFonts w:ascii="Times New Roman" w:hAnsi="Times New Roman" w:cs="Times New Roman"/>
          <w:color w:val="auto"/>
          <w:sz w:val="22"/>
        </w:rPr>
        <w:instrText>ADDIN CSL_CITATION {"citationItems":[{"id":"ITEM-1","itemData":{"ISBN":"9789632794716","abstract":"Ez az elektronikus jegyzet a Felületek fizikai kémiája című BSc tantárgy elsajátítását segíti, az előadások törzsanyagául szolgáló alapismeretek tömör összefoglalása. A további elmélyülésben az előadások, illetve az ajánlott irodalom nyújthatnak segítséget. A középpontban a határfelületi jelenségek állnak. A jegyzet a határfelületeknek a fizikai-kémiai folyamatokban betöltött szerepével foglalkozik, és tárgyalja a határfelületen lejátszódó folyamatok törvényszerűségeit.","author":[{"dropping-particle":"","family":"László","given":"Krisztina","non-dropping-particle":"","parse-names":false,"suffix":""}],"id":"ITEM-1","issued":{"date-parts":[["2011"]]},"number-of-pages":"3-69","publisher":"Typotex Kiadó","publisher-place":"Budapest","title":"Felületek Fizikai Kémiája","type":"book"},"uris":["http://www.mendeley.com/documents/?uuid=7346aa0c-af34-4104-be78-a7bcd465f65c"]}],"mendeley":{"formattedCitation":"[10]","plainTextFormattedCitation":"[10]","previouslyFormattedCitation":"[10]"},"properties":{"noteIndex":0},"schema":"https://github.com/citation-style-language/schema/raw/master/csl-citation.json"}</w:instrText>
      </w:r>
      <w:r w:rsidRPr="00677810">
        <w:rPr>
          <w:rFonts w:ascii="Times New Roman" w:hAnsi="Times New Roman" w:cs="Times New Roman"/>
          <w:color w:val="auto"/>
          <w:sz w:val="22"/>
        </w:rPr>
        <w:fldChar w:fldCharType="separate"/>
      </w:r>
      <w:proofErr w:type="gramStart"/>
      <w:r w:rsidR="007F2EB9" w:rsidRPr="00677810">
        <w:rPr>
          <w:rFonts w:ascii="Times New Roman" w:hAnsi="Times New Roman" w:cs="Times New Roman"/>
          <w:noProof/>
          <w:color w:val="auto"/>
          <w:sz w:val="22"/>
        </w:rPr>
        <w:t>[10]</w:t>
      </w:r>
      <w:r w:rsidRPr="00677810">
        <w:rPr>
          <w:rFonts w:ascii="Times New Roman" w:hAnsi="Times New Roman" w:cs="Times New Roman"/>
          <w:color w:val="auto"/>
          <w:sz w:val="22"/>
        </w:rPr>
        <w:fldChar w:fldCharType="end"/>
      </w:r>
      <w:r w:rsidR="00963E1F" w:rsidRPr="00677810">
        <w:rPr>
          <w:rFonts w:ascii="Times New Roman" w:hAnsi="Times New Roman" w:cs="Times New Roman"/>
          <w:color w:val="auto"/>
          <w:sz w:val="22"/>
        </w:rPr>
        <w:t xml:space="preserve"> (balra) és talajminta hidrogén-peroxidos kezelésének hatása</w:t>
      </w:r>
      <w:proofErr w:type="gramEnd"/>
      <w:r w:rsidRPr="00677810">
        <w:rPr>
          <w:rFonts w:ascii="Times New Roman" w:hAnsi="Times New Roman" w:cs="Times New Roman"/>
          <w:color w:val="auto"/>
          <w:sz w:val="22"/>
        </w:rPr>
        <w:fldChar w:fldCharType="begin" w:fldLock="1"/>
      </w:r>
      <w:r w:rsidR="006E4204" w:rsidRPr="00677810">
        <w:rPr>
          <w:rFonts w:ascii="Times New Roman" w:hAnsi="Times New Roman" w:cs="Times New Roman"/>
          <w:color w:val="auto"/>
          <w:sz w:val="22"/>
        </w:rPr>
        <w:instrText>ADDIN CSL_CITATION {"citationItems":[{"id":"ITEM-1","itemData":{"DOI":"10.1016/B978-0-12-409548-9.09583-X","ISBN":"9780124095489","ISSN":"0891188932","author":[{"dropping-particle":"","family":"Pennell","given":"K.D.","non-dropping-particle":"","parse-names":false,"suffix":""}],"container-title":"Reference Module in Earth Systems and Environmental Sciences","id":"ITEM-1","issue":"March 2016","issued":{"date-parts":[["2016"]]},"page":"1-8","publisher":"Elsevier","title":"Specific Surface Area","type":"chapter"},"uris":["http://www.mendeley.com/documents/?uuid=c87120c4-c962-4832-961d-c71c71782b0a"]}],"mendeley":{"formattedCitation":"[8]","plainTextFormattedCitation":"[8]","previouslyFormattedCitation":"[8]"},"properties":{"noteIndex":0},"schema":"https://github.com/citation-style-language/schema/raw/master/csl-citation.json"}</w:instrText>
      </w:r>
      <w:r w:rsidRPr="00677810">
        <w:rPr>
          <w:rFonts w:ascii="Times New Roman" w:hAnsi="Times New Roman" w:cs="Times New Roman"/>
          <w:color w:val="auto"/>
          <w:sz w:val="22"/>
        </w:rPr>
        <w:fldChar w:fldCharType="separate"/>
      </w:r>
      <w:r w:rsidR="007F2EB9" w:rsidRPr="00677810">
        <w:rPr>
          <w:rFonts w:ascii="Times New Roman" w:hAnsi="Times New Roman" w:cs="Times New Roman"/>
          <w:noProof/>
          <w:color w:val="auto"/>
          <w:sz w:val="22"/>
        </w:rPr>
        <w:t>[8]</w:t>
      </w:r>
      <w:r w:rsidRPr="00677810">
        <w:rPr>
          <w:rFonts w:ascii="Times New Roman" w:hAnsi="Times New Roman" w:cs="Times New Roman"/>
          <w:color w:val="auto"/>
          <w:sz w:val="22"/>
        </w:rPr>
        <w:fldChar w:fldCharType="end"/>
      </w:r>
      <w:r w:rsidR="00963E1F" w:rsidRPr="00677810">
        <w:rPr>
          <w:rFonts w:ascii="Times New Roman" w:hAnsi="Times New Roman" w:cs="Times New Roman"/>
          <w:color w:val="auto"/>
          <w:sz w:val="22"/>
        </w:rPr>
        <w:t xml:space="preserve"> (jobbra)</w:t>
      </w:r>
    </w:p>
    <w:p w:rsidR="00A07075" w:rsidRPr="00070A1E" w:rsidRDefault="00747945" w:rsidP="00B6750F">
      <w:pPr>
        <w:jc w:val="both"/>
        <w:rPr>
          <w:rFonts w:ascii="Times New Roman" w:hAnsi="Times New Roman" w:cs="Times New Roman"/>
          <w:b/>
          <w:sz w:val="24"/>
        </w:rPr>
      </w:pPr>
      <w:r w:rsidRPr="00070A1E">
        <w:rPr>
          <w:rFonts w:ascii="Times New Roman" w:hAnsi="Times New Roman" w:cs="Times New Roman"/>
          <w:sz w:val="24"/>
        </w:rPr>
        <w:tab/>
      </w:r>
      <w:r w:rsidRPr="00070A1E">
        <w:rPr>
          <w:rFonts w:ascii="Times New Roman" w:hAnsi="Times New Roman" w:cs="Times New Roman"/>
          <w:b/>
          <w:sz w:val="24"/>
        </w:rPr>
        <w:t>D) Poláris folyadék abszorpció</w:t>
      </w:r>
    </w:p>
    <w:p w:rsidR="00D815DB" w:rsidRPr="00070A1E" w:rsidRDefault="00747945" w:rsidP="00B6750F">
      <w:pPr>
        <w:jc w:val="both"/>
        <w:rPr>
          <w:rFonts w:ascii="Times New Roman" w:hAnsi="Times New Roman" w:cs="Times New Roman"/>
          <w:sz w:val="24"/>
        </w:rPr>
      </w:pPr>
      <w:r w:rsidRPr="00070A1E">
        <w:rPr>
          <w:rFonts w:ascii="Times New Roman" w:hAnsi="Times New Roman" w:cs="Times New Roman"/>
          <w:sz w:val="24"/>
        </w:rPr>
        <w:tab/>
      </w:r>
      <w:r w:rsidR="00963E1F" w:rsidRPr="00070A1E">
        <w:rPr>
          <w:rFonts w:ascii="Times New Roman" w:hAnsi="Times New Roman" w:cs="Times New Roman"/>
          <w:sz w:val="24"/>
        </w:rPr>
        <w:t xml:space="preserve">A poláris folyadék adszorpció egy egyszerű módszer a talajminták fajlagos felületének mérésére. Erre a célra általában </w:t>
      </w:r>
      <w:proofErr w:type="spellStart"/>
      <w:r w:rsidR="00963E1F" w:rsidRPr="00070A1E">
        <w:rPr>
          <w:rFonts w:ascii="Times New Roman" w:hAnsi="Times New Roman" w:cs="Times New Roman"/>
          <w:sz w:val="24"/>
        </w:rPr>
        <w:t>etilén-glikolt</w:t>
      </w:r>
      <w:proofErr w:type="spellEnd"/>
      <w:r w:rsidR="00963E1F" w:rsidRPr="00070A1E">
        <w:rPr>
          <w:rFonts w:ascii="Times New Roman" w:hAnsi="Times New Roman" w:cs="Times New Roman"/>
          <w:sz w:val="24"/>
        </w:rPr>
        <w:t xml:space="preserve"> (EG) vagy </w:t>
      </w:r>
      <w:proofErr w:type="spellStart"/>
      <w:r w:rsidR="00963E1F" w:rsidRPr="00070A1E">
        <w:rPr>
          <w:rFonts w:ascii="Times New Roman" w:hAnsi="Times New Roman" w:cs="Times New Roman"/>
          <w:sz w:val="24"/>
        </w:rPr>
        <w:t>EGME-t</w:t>
      </w:r>
      <w:proofErr w:type="spellEnd"/>
      <w:r w:rsidR="00963E1F" w:rsidRPr="00070A1E">
        <w:rPr>
          <w:rFonts w:ascii="Times New Roman" w:hAnsi="Times New Roman" w:cs="Times New Roman"/>
          <w:sz w:val="24"/>
        </w:rPr>
        <w:t xml:space="preserve"> (2-metoxietanol) használnak. Manapság elsősorban az utóbbit, mert gyorsabb mérést tesz lehetővé. Az előzetesen szárított mintát </w:t>
      </w:r>
      <w:proofErr w:type="spellStart"/>
      <w:r w:rsidR="00963E1F" w:rsidRPr="00070A1E">
        <w:rPr>
          <w:rFonts w:ascii="Times New Roman" w:hAnsi="Times New Roman" w:cs="Times New Roman"/>
          <w:sz w:val="24"/>
        </w:rPr>
        <w:t>vákuumexszikkátorba</w:t>
      </w:r>
      <w:proofErr w:type="spellEnd"/>
      <w:r w:rsidR="00963E1F" w:rsidRPr="00070A1E">
        <w:rPr>
          <w:rFonts w:ascii="Times New Roman" w:hAnsi="Times New Roman" w:cs="Times New Roman"/>
          <w:sz w:val="24"/>
        </w:rPr>
        <w:t xml:space="preserve"> helyezik, és a berendezésen belül EG vagy </w:t>
      </w:r>
      <w:proofErr w:type="spellStart"/>
      <w:r w:rsidR="00963E1F" w:rsidRPr="00070A1E">
        <w:rPr>
          <w:rFonts w:ascii="Times New Roman" w:hAnsi="Times New Roman" w:cs="Times New Roman"/>
          <w:sz w:val="24"/>
        </w:rPr>
        <w:t>EGME-t</w:t>
      </w:r>
      <w:proofErr w:type="spellEnd"/>
      <w:r w:rsidR="00963E1F" w:rsidRPr="00070A1E">
        <w:rPr>
          <w:rFonts w:ascii="Times New Roman" w:hAnsi="Times New Roman" w:cs="Times New Roman"/>
          <w:sz w:val="24"/>
        </w:rPr>
        <w:t xml:space="preserve"> tesznek külön edénybe, de szabadon, hogy a folyadék gőznyomása állandó legyen</w:t>
      </w:r>
      <w:r w:rsidR="00D815DB" w:rsidRPr="00070A1E">
        <w:rPr>
          <w:rFonts w:ascii="Times New Roman" w:hAnsi="Times New Roman" w:cs="Times New Roman"/>
          <w:sz w:val="24"/>
        </w:rPr>
        <w:t xml:space="preserve"> az exszikkátorban</w:t>
      </w:r>
      <w:r w:rsidR="00963E1F" w:rsidRPr="00070A1E">
        <w:rPr>
          <w:rFonts w:ascii="Times New Roman" w:hAnsi="Times New Roman" w:cs="Times New Roman"/>
          <w:sz w:val="24"/>
        </w:rPr>
        <w:t>.</w:t>
      </w:r>
      <w:r w:rsidR="00D815DB" w:rsidRPr="00070A1E">
        <w:rPr>
          <w:rFonts w:ascii="Times New Roman" w:hAnsi="Times New Roman" w:cs="Times New Roman"/>
          <w:sz w:val="24"/>
        </w:rPr>
        <w:t xml:space="preserve"> Ezután a megfelelő folyadékból a mintára csepegtetnek teljes nedvesítésig. Ezt követően vákuumot applikálnak a rendszerre, amíg a minta tömege nem lesz állandó. A fajlagos felület az alábbi módon számítható:</w:t>
      </w:r>
    </w:p>
    <w:p w:rsidR="00D815DB" w:rsidRPr="00070A1E" w:rsidRDefault="001E0539" w:rsidP="00B6750F">
      <w:pPr>
        <w:jc w:val="both"/>
        <w:rPr>
          <w:rFonts w:ascii="Times New Roman" w:hAnsi="Times New Roman" w:cs="Times New Roman"/>
          <w:sz w:val="24"/>
        </w:rPr>
      </w:pPr>
      <m:oMathPara>
        <m:oMath>
          <m:sSub>
            <m:sSubPr>
              <m:ctrlPr>
                <w:rPr>
                  <w:rFonts w:ascii="Cambria Math" w:hAnsi="Times New Roman" w:cs="Times New Roman"/>
                  <w:i/>
                  <w:sz w:val="24"/>
                </w:rPr>
              </m:ctrlPr>
            </m:sSubPr>
            <m:e>
              <m:r>
                <w:rPr>
                  <w:rFonts w:ascii="Cambria Math" w:hAnsi="Cambria Math" w:cs="Times New Roman"/>
                  <w:sz w:val="24"/>
                </w:rPr>
                <m:t>A</m:t>
              </m:r>
            </m:e>
            <m:sub>
              <m:r>
                <w:rPr>
                  <w:rFonts w:ascii="Cambria Math" w:hAnsi="Cambria Math" w:cs="Times New Roman"/>
                  <w:sz w:val="24"/>
                </w:rPr>
                <m:t>s</m:t>
              </m:r>
            </m:sub>
          </m:sSub>
          <m:r>
            <w:rPr>
              <w:rFonts w:ascii="Cambria Math" w:hAnsi="Times New Roman" w:cs="Times New Roman"/>
              <w:sz w:val="24"/>
            </w:rPr>
            <m:t>=</m:t>
          </m:r>
          <m:f>
            <m:fPr>
              <m:ctrlPr>
                <w:rPr>
                  <w:rFonts w:ascii="Cambria Math" w:hAnsi="Times New Roman" w:cs="Times New Roman"/>
                  <w:i/>
                  <w:sz w:val="24"/>
                </w:rPr>
              </m:ctrlPr>
            </m:fPr>
            <m:num>
              <m:sSub>
                <m:sSubPr>
                  <m:ctrlPr>
                    <w:rPr>
                      <w:rFonts w:ascii="Cambria Math" w:hAnsi="Times New Roman" w:cs="Times New Roman"/>
                      <w:i/>
                      <w:sz w:val="24"/>
                    </w:rPr>
                  </m:ctrlPr>
                </m:sSubPr>
                <m:e>
                  <m:r>
                    <w:rPr>
                      <w:rFonts w:ascii="Cambria Math" w:hAnsi="Cambria Math" w:cs="Times New Roman"/>
                      <w:sz w:val="24"/>
                    </w:rPr>
                    <m:t>W</m:t>
                  </m:r>
                </m:e>
                <m:sub>
                  <m:r>
                    <w:rPr>
                      <w:rFonts w:ascii="Cambria Math" w:hAnsi="Cambria Math" w:cs="Times New Roman"/>
                      <w:sz w:val="24"/>
                    </w:rPr>
                    <m:t>EG</m:t>
                  </m:r>
                  <m:r>
                    <w:rPr>
                      <w:rFonts w:ascii="Cambria Math" w:hAnsi="Times New Roman" w:cs="Times New Roman"/>
                      <w:sz w:val="24"/>
                    </w:rPr>
                    <m:t>/</m:t>
                  </m:r>
                  <m:r>
                    <w:rPr>
                      <w:rFonts w:ascii="Cambria Math" w:hAnsi="Cambria Math" w:cs="Times New Roman"/>
                      <w:sz w:val="24"/>
                    </w:rPr>
                    <m:t>EGME</m:t>
                  </m:r>
                </m:sub>
              </m:sSub>
            </m:num>
            <m:den>
              <m:sSub>
                <m:sSubPr>
                  <m:ctrlPr>
                    <w:rPr>
                      <w:rFonts w:ascii="Cambria Math" w:hAnsi="Times New Roman" w:cs="Times New Roman"/>
                      <w:i/>
                      <w:sz w:val="24"/>
                    </w:rPr>
                  </m:ctrlPr>
                </m:sSubPr>
                <m:e>
                  <m:r>
                    <w:rPr>
                      <w:rFonts w:ascii="Cambria Math" w:hAnsi="Cambria Math" w:cs="Times New Roman"/>
                      <w:sz w:val="24"/>
                    </w:rPr>
                    <m:t>W</m:t>
                  </m:r>
                </m:e>
                <m:sub>
                  <m:r>
                    <w:rPr>
                      <w:rFonts w:ascii="Cambria Math" w:hAnsi="Cambria Math" w:cs="Times New Roman"/>
                      <w:sz w:val="24"/>
                    </w:rPr>
                    <m:t>sz</m:t>
                  </m:r>
                  <m:r>
                    <w:rPr>
                      <w:rFonts w:ascii="Cambria Math" w:hAnsi="Times New Roman" w:cs="Times New Roman"/>
                      <w:sz w:val="24"/>
                    </w:rPr>
                    <m:t>á</m:t>
                  </m:r>
                  <m:r>
                    <w:rPr>
                      <w:rFonts w:ascii="Cambria Math" w:hAnsi="Cambria Math" w:cs="Times New Roman"/>
                      <w:sz w:val="24"/>
                    </w:rPr>
                    <m:t>raz</m:t>
                  </m:r>
                  <m:r>
                    <w:rPr>
                      <w:rFonts w:ascii="Cambria Math" w:hAnsi="Times New Roman" w:cs="Times New Roman"/>
                      <w:sz w:val="24"/>
                    </w:rPr>
                    <m:t xml:space="preserve"> </m:t>
                  </m:r>
                  <m:r>
                    <w:rPr>
                      <w:rFonts w:ascii="Cambria Math" w:hAnsi="Cambria Math" w:cs="Times New Roman"/>
                      <w:sz w:val="24"/>
                    </w:rPr>
                    <m:t>minta</m:t>
                  </m:r>
                </m:sub>
              </m:sSub>
              <m:r>
                <w:rPr>
                  <w:rFonts w:ascii="Times New Roman" w:hAnsi="Cambria Math" w:cs="Times New Roman"/>
                  <w:sz w:val="24"/>
                </w:rPr>
                <m:t>*</m:t>
              </m:r>
              <m:r>
                <w:rPr>
                  <w:rFonts w:ascii="Cambria Math" w:hAnsi="Cambria Math" w:cs="Times New Roman"/>
                  <w:sz w:val="24"/>
                </w:rPr>
                <m:t>f</m:t>
              </m:r>
            </m:den>
          </m:f>
        </m:oMath>
      </m:oMathPara>
    </w:p>
    <w:p w:rsidR="00A07075" w:rsidRPr="00070A1E" w:rsidRDefault="00A07075" w:rsidP="00A07075">
      <w:pPr>
        <w:keepNext/>
        <w:jc w:val="center"/>
        <w:rPr>
          <w:rFonts w:ascii="Times New Roman" w:hAnsi="Times New Roman" w:cs="Times New Roman"/>
        </w:rPr>
      </w:pPr>
    </w:p>
    <w:p w:rsidR="00E038C7" w:rsidRPr="00070A1E" w:rsidRDefault="00D815DB" w:rsidP="00D815DB">
      <w:pPr>
        <w:jc w:val="both"/>
        <w:rPr>
          <w:rFonts w:ascii="Times New Roman" w:hAnsi="Times New Roman" w:cs="Times New Roman"/>
          <w:sz w:val="24"/>
        </w:rPr>
      </w:pPr>
      <w:r w:rsidRPr="00070A1E">
        <w:rPr>
          <w:rFonts w:ascii="Times New Roman" w:hAnsi="Times New Roman" w:cs="Times New Roman"/>
          <w:sz w:val="24"/>
        </w:rPr>
        <w:t xml:space="preserve">Ahol f a folyadék tömeg-felület konverziós faktora, amit egy ismert szerkezetű </w:t>
      </w:r>
      <w:r w:rsidR="00B840C7" w:rsidRPr="00070A1E">
        <w:rPr>
          <w:rFonts w:ascii="Times New Roman" w:hAnsi="Times New Roman" w:cs="Times New Roman"/>
          <w:sz w:val="24"/>
        </w:rPr>
        <w:t>agyagásvány mintával számítanak</w:t>
      </w:r>
      <w:r w:rsidRPr="00070A1E">
        <w:rPr>
          <w:rFonts w:ascii="Times New Roman" w:hAnsi="Times New Roman" w:cs="Times New Roman"/>
          <w:sz w:val="24"/>
        </w:rPr>
        <w:t xml:space="preserve"> ki. A mérés elve az, hogy a poláris folyadékok és az agyagásvány lecserélhető kationjai közötti vonzás miatt e folyadék be tud hatolni az agyagásvány rétegek közé (és természetesen minden pórusba is, amibe befér), és ott megkötődik. A módszer feltételezi, hogy egy rétegben adszorbeálódik a felületen a folyadék, ami nem feltétlenül teljesül, mert a kationcsere-helyeknél többrétegű adszorpció léphet fel</w:t>
      </w:r>
      <w:r w:rsidR="00D97F0C" w:rsidRPr="00070A1E">
        <w:rPr>
          <w:rFonts w:ascii="Times New Roman" w:hAnsi="Times New Roman" w:cs="Times New Roman"/>
          <w:sz w:val="24"/>
        </w:rPr>
        <w:t xml:space="preserve"> a </w:t>
      </w:r>
      <w:r w:rsidR="00C9406D" w:rsidRPr="00070A1E">
        <w:rPr>
          <w:rFonts w:ascii="Times New Roman" w:hAnsi="Times New Roman" w:cs="Times New Roman"/>
          <w:sz w:val="24"/>
        </w:rPr>
        <w:t>borítottság</w:t>
      </w:r>
      <w:r w:rsidR="00D97F0C" w:rsidRPr="00070A1E">
        <w:rPr>
          <w:rFonts w:ascii="Times New Roman" w:hAnsi="Times New Roman" w:cs="Times New Roman"/>
          <w:sz w:val="24"/>
        </w:rPr>
        <w:t xml:space="preserve"> </w:t>
      </w:r>
      <w:r w:rsidR="00C9406D" w:rsidRPr="00070A1E">
        <w:rPr>
          <w:rFonts w:ascii="Times New Roman" w:hAnsi="Times New Roman" w:cs="Times New Roman"/>
          <w:sz w:val="24"/>
        </w:rPr>
        <w:t xml:space="preserve">teljes felületen való kialakulása </w:t>
      </w:r>
      <w:r w:rsidR="00D97F0C" w:rsidRPr="00070A1E">
        <w:rPr>
          <w:rFonts w:ascii="Times New Roman" w:hAnsi="Times New Roman" w:cs="Times New Roman"/>
          <w:sz w:val="24"/>
        </w:rPr>
        <w:t>előtt</w:t>
      </w:r>
      <w:r w:rsidR="00C9406D" w:rsidRPr="00070A1E">
        <w:rPr>
          <w:rFonts w:ascii="Times New Roman" w:hAnsi="Times New Roman" w:cs="Times New Roman"/>
          <w:sz w:val="24"/>
        </w:rPr>
        <w:t xml:space="preserve"> is</w:t>
      </w:r>
      <w:r w:rsidR="00D97F0C" w:rsidRPr="00070A1E">
        <w:rPr>
          <w:rFonts w:ascii="Times New Roman" w:hAnsi="Times New Roman" w:cs="Times New Roman"/>
          <w:sz w:val="24"/>
        </w:rPr>
        <w:t xml:space="preserve">. </w:t>
      </w:r>
      <w:proofErr w:type="gramStart"/>
      <w:r w:rsidR="00D97F0C" w:rsidRPr="00070A1E">
        <w:rPr>
          <w:rFonts w:ascii="Times New Roman" w:hAnsi="Times New Roman" w:cs="Times New Roman"/>
          <w:sz w:val="24"/>
        </w:rPr>
        <w:t xml:space="preserve">Szintén rontja a mérés eredményét a szerves anyagok jelenléte is, azáltal hogy a folyadék a molekulák közé hatolva felduzzaszthatja </w:t>
      </w:r>
      <w:r w:rsidR="00C9406D" w:rsidRPr="00070A1E">
        <w:rPr>
          <w:rFonts w:ascii="Times New Roman" w:hAnsi="Times New Roman" w:cs="Times New Roman"/>
          <w:sz w:val="24"/>
        </w:rPr>
        <w:t>azokat</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{"citationItems":[{"id":"ITEM-1","itemData":{"DOI":"10.1016/j.geoderma.2013.10.015","ISSN":"00167061","abstract":"The specific surface area (SSA) of soils is a basic property and closely related to other physical and chemical properties like e.g. cation exchange capacity, clay content, organic matter content, porosity and hydrodynamic and geotechnical characteristics. Therefore, the SSA of soils has been measured frequently for decades. However, no universal method to determine SSA exists. The existing methods can generally be grouped into two categories, the adsorption of gases and the adsorption of polar liquids or molecules from solution. Depending on the method applied, the SSA of a soil can vary, as by these different methods, different surfaces of the soil are determined. The most frequently used representatives of these two groups for measuring SSA of soils are the physisorption of nitrogen gas at 77K (BET-N2) for the gas adsorption methods, yielding the external surface area of the mineral particles, and the retention of ethylene glycol monoethyl ether (EGME) for the adsorption of polar liquids, probing the total surface area including interlayers of clay minerals and micropores of organic material. Studies dealing with the determination of SSA of soils are numerous, and it has also been shown that the resulting SSA values differ not only depending on the method but also on the sorbate used and the sample pretreatment. This review shortly presents the principles of these methods and emphasises their limitations and difficulties, when applied to soil samples, like sample pretreatment, (micro-)porosity and attachment of organic material to mineral surfaces. In particular the drying of the samples prior to measurement seems to be crucial for the results obtained. Recommendations are given in order to improve the quality of the data and to facilitate the comparability of SSA data of different studies. It is shown for clayey soil samples that the relationship between BET-N2 and EGME SSA depends predominantly on the type of clay mineral and not on the content of organic material. Thus, from the SSA measurements, an estimation of the dominant clay mineral seems possible. Consequently, a suitable combination of various SSA determination methods together with related techniques can result in a more detailed characterisation of the reactive interface of a soil to the liquid and gaseous phases. © 2013 Elsevier B.V.","author":[{"dropping-particle":"","family":"Heister","given":"Katja","non-dropping-particle":"","parse-names":false,"suffix":""}],"container-title":"Geoderma","id":"ITEM-1","issued":{"date-parts":[["2014"]]},"page":"75-87","publisher":"Elsevier B.V.","title":"The measurement of the specific surface area of soils by gas and polar liquid adsorption methods-limitations and potentials","type":"article-journal","volume":"216"},"uris":["http://www.mendeley.com/documents/?uuid=d7d8520f-2bda-4b29-9154-4d9c32f9afce"]}],"mendeley":{"formattedCitation":"[9]","plainTextFormattedCitation":"[9]","previouslyFormattedCitation":"[9]"},"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[9]</w:t>
      </w:r>
      <w:r w:rsidR="001E0539" w:rsidRPr="00070A1E">
        <w:rPr>
          <w:rFonts w:ascii="Times New Roman" w:hAnsi="Times New Roman" w:cs="Times New Roman"/>
          <w:sz w:val="24"/>
        </w:rPr>
        <w:fldChar w:fldCharType="end"/>
      </w:r>
      <w:r w:rsidR="00D97F0C" w:rsidRPr="00070A1E">
        <w:rPr>
          <w:rFonts w:ascii="Times New Roman" w:hAnsi="Times New Roman" w:cs="Times New Roman"/>
          <w:sz w:val="24"/>
        </w:rPr>
        <w:t xml:space="preserve">, illetve, hogy az ásvány lecserélhető ionjai típustól függő mértékben adszorbeálnak. </w:t>
      </w:r>
      <w:proofErr w:type="gramStart"/>
      <w:r w:rsidR="00D97F0C" w:rsidRPr="00070A1E">
        <w:rPr>
          <w:rFonts w:ascii="Times New Roman" w:hAnsi="Times New Roman" w:cs="Times New Roman"/>
          <w:sz w:val="24"/>
        </w:rPr>
        <w:t>A módszer alkalmas szerves anyagoktól mentesített agyagásványok felületének mérésére.</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B978-0-12-409548-9.09583-X","ISBN":"9780124095489","ISSN":"0891188932","author":[{"dropping-particle":"","family":"Pennell","given":"K.D.","non-dropping-particle":"","parse-names":false,"suffix":""}],"container-title":"Reference Module in Earth Systems and Environmental Sciences","id":"ITEM-1","issue":"March 2016","issued":{"date-parts":[["2016"]]},"page":"1-8","publisher":"Elsevier","title":"Specific Surface Area","type":"chapter"},"uris":["http://www.mendeley.com/documents/?uuid=c87120c4-c962-4832-961d-c71c71782b0a"]}],"mendeley":{"formattedCitation":"[8]","plainTextFormattedCitation":"[8]","previouslyFormattedCitation":"[8]"},"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[8]</w:t>
      </w:r>
      <w:r w:rsidR="001E0539" w:rsidRPr="00070A1E">
        <w:rPr>
          <w:rFonts w:ascii="Times New Roman" w:hAnsi="Times New Roman" w:cs="Times New Roman"/>
          <w:sz w:val="24"/>
        </w:rPr>
        <w:fldChar w:fldCharType="end"/>
      </w:r>
    </w:p>
    <w:p w:rsidR="00D97F0C" w:rsidRPr="00070A1E" w:rsidRDefault="00D97F0C" w:rsidP="00D815DB">
      <w:pPr>
        <w:jc w:val="both"/>
        <w:rPr>
          <w:rFonts w:ascii="Times New Roman" w:hAnsi="Times New Roman" w:cs="Times New Roman"/>
          <w:sz w:val="24"/>
        </w:rPr>
      </w:pPr>
      <w:r w:rsidRPr="00070A1E">
        <w:rPr>
          <w:rFonts w:ascii="Times New Roman" w:hAnsi="Times New Roman" w:cs="Times New Roman"/>
          <w:sz w:val="24"/>
        </w:rPr>
        <w:tab/>
        <w:t xml:space="preserve">Jól látható, hogy a felsorolt módszerek közül egyik se sem tökéletes, és természetes talajokra csak korlátozottan alkalmazhatóak. </w:t>
      </w:r>
      <w:proofErr w:type="gramStart"/>
      <w:r w:rsidRPr="00070A1E">
        <w:rPr>
          <w:rFonts w:ascii="Times New Roman" w:hAnsi="Times New Roman" w:cs="Times New Roman"/>
          <w:sz w:val="24"/>
        </w:rPr>
        <w:t xml:space="preserve">Az általános módszer a nitrogén </w:t>
      </w:r>
      <w:proofErr w:type="spellStart"/>
      <w:r w:rsidRPr="00070A1E">
        <w:rPr>
          <w:rFonts w:ascii="Times New Roman" w:hAnsi="Times New Roman" w:cs="Times New Roman"/>
          <w:sz w:val="24"/>
        </w:rPr>
        <w:t>gázadszorpciós</w:t>
      </w:r>
      <w:proofErr w:type="spellEnd"/>
      <w:r w:rsidRPr="00070A1E">
        <w:rPr>
          <w:rFonts w:ascii="Times New Roman" w:hAnsi="Times New Roman" w:cs="Times New Roman"/>
          <w:sz w:val="24"/>
        </w:rPr>
        <w:t xml:space="preserve"> mérés alkalmazása a külső fajlagos felület és a poláris </w:t>
      </w:r>
      <w:proofErr w:type="spellStart"/>
      <w:r w:rsidRPr="00070A1E">
        <w:rPr>
          <w:rFonts w:ascii="Times New Roman" w:hAnsi="Times New Roman" w:cs="Times New Roman"/>
          <w:sz w:val="24"/>
        </w:rPr>
        <w:t>folyadékadszorpció</w:t>
      </w:r>
      <w:proofErr w:type="spellEnd"/>
      <w:r w:rsidRPr="00070A1E">
        <w:rPr>
          <w:rFonts w:ascii="Times New Roman" w:hAnsi="Times New Roman" w:cs="Times New Roman"/>
          <w:sz w:val="24"/>
        </w:rPr>
        <w:t xml:space="preserve"> alkalmazása a teljes fajlagos felület mérésére.</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B978-0-12-409548-9.09583-X","ISBN":"9780124095489","ISSN":"0891188932","author":[{"dropping-particle":"","family":"Pennell","given":"K.D.","non-dropping-particle":"","parse-names":false,"suffix":""}],"container-title":"Reference Module in Earth Systems and Environmental Sciences","id":"ITEM-1","issue":"March 2016","issued":{"date-parts":[["2016"]]},"page":"1-8","publisher":"Elsevier","title":"Specific Surface Area","type":"chapter"},"uris":["http://www.mendeley.com/documents/?uuid=c87120c4-c962-4832-961d-c71c71782b0a"]}],"mendeley":{"formattedCitation":"[8]","plainTextFormattedCitation":"[8]","previouslyFormattedCitation":"[8]"},"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[8]</w:t>
      </w:r>
      <w:r w:rsidR="001E0539" w:rsidRPr="00070A1E">
        <w:rPr>
          <w:rFonts w:ascii="Times New Roman" w:hAnsi="Times New Roman" w:cs="Times New Roman"/>
          <w:sz w:val="24"/>
        </w:rPr>
        <w:fldChar w:fldCharType="end"/>
      </w:r>
    </w:p>
    <w:p w:rsidR="002F2B05" w:rsidRDefault="002F2B05" w:rsidP="00D815DB">
      <w:pPr>
        <w:jc w:val="both"/>
        <w:rPr>
          <w:rFonts w:ascii="Times New Roman" w:hAnsi="Times New Roman" w:cs="Times New Roman"/>
          <w:sz w:val="24"/>
        </w:rPr>
      </w:pPr>
    </w:p>
    <w:p w:rsidR="006678B5" w:rsidRPr="00070A1E" w:rsidRDefault="00BD3E87" w:rsidP="00D815DB">
      <w:pPr>
        <w:jc w:val="both"/>
        <w:rPr>
          <w:rFonts w:ascii="Times New Roman" w:hAnsi="Times New Roman" w:cs="Times New Roman"/>
          <w:sz w:val="24"/>
        </w:rPr>
      </w:pPr>
      <w:r w:rsidRPr="00070A1E">
        <w:rPr>
          <w:rFonts w:ascii="Times New Roman" w:hAnsi="Times New Roman" w:cs="Times New Roman"/>
          <w:sz w:val="24"/>
        </w:rPr>
        <w:lastRenderedPageBreak/>
        <w:t>A fajlagos felületet alapvetően a pórusszerkezet (pórusméret eloszlás) határozza meg, azonban az egyik legfontosabb tényező az agyagásványtartalom</w:t>
      </w:r>
      <w:r w:rsidR="00C9406D" w:rsidRPr="00070A1E">
        <w:rPr>
          <w:rFonts w:ascii="Times New Roman" w:hAnsi="Times New Roman" w:cs="Times New Roman"/>
          <w:sz w:val="24"/>
        </w:rPr>
        <w:t xml:space="preserve">, ami összefügg a szemcsemérettel. Az agyagásványok szemcsemérete ugyanis kicsi, így nagyobb agyagásványtartalom több kis szemcsét jelent. Ez látható a 2. táblázatban </w:t>
      </w:r>
      <w:r w:rsidRPr="00070A1E">
        <w:rPr>
          <w:rFonts w:ascii="Times New Roman" w:hAnsi="Times New Roman" w:cs="Times New Roman"/>
          <w:sz w:val="24"/>
        </w:rPr>
        <w:t xml:space="preserve">is, ahol különböző </w:t>
      </w:r>
      <w:proofErr w:type="spellStart"/>
      <w:r w:rsidRPr="00070A1E">
        <w:rPr>
          <w:rFonts w:ascii="Times New Roman" w:hAnsi="Times New Roman" w:cs="Times New Roman"/>
          <w:sz w:val="24"/>
        </w:rPr>
        <w:t>agyagásványtartalmú</w:t>
      </w:r>
      <w:proofErr w:type="spellEnd"/>
      <w:r w:rsidRPr="00070A1E">
        <w:rPr>
          <w:rFonts w:ascii="Times New Roman" w:hAnsi="Times New Roman" w:cs="Times New Roman"/>
          <w:sz w:val="24"/>
        </w:rPr>
        <w:t xml:space="preserve"> minták fajlagos felületét határozták meg:</w:t>
      </w:r>
    </w:p>
    <w:p w:rsidR="00BD3E87" w:rsidRPr="00677810" w:rsidRDefault="001E0539" w:rsidP="00677810">
      <w:pPr>
        <w:pStyle w:val="Kpalrs"/>
        <w:ind w:firstLine="708"/>
        <w:jc w:val="center"/>
        <w:rPr>
          <w:rFonts w:ascii="Times New Roman" w:hAnsi="Times New Roman" w:cs="Times New Roman"/>
          <w:color w:val="auto"/>
          <w:sz w:val="22"/>
        </w:rPr>
      </w:pPr>
      <w:r w:rsidRPr="00677810">
        <w:rPr>
          <w:rFonts w:ascii="Times New Roman" w:hAnsi="Times New Roman" w:cs="Times New Roman"/>
          <w:color w:val="auto"/>
          <w:sz w:val="22"/>
        </w:rPr>
        <w:fldChar w:fldCharType="begin"/>
      </w:r>
      <w:r w:rsidR="00BD3E87" w:rsidRPr="00677810">
        <w:rPr>
          <w:rFonts w:ascii="Times New Roman" w:hAnsi="Times New Roman" w:cs="Times New Roman"/>
          <w:color w:val="auto"/>
          <w:sz w:val="22"/>
        </w:rPr>
        <w:instrText xml:space="preserve"> SEQ táblázat \* ARABIC </w:instrText>
      </w:r>
      <w:r w:rsidRPr="00677810">
        <w:rPr>
          <w:rFonts w:ascii="Times New Roman" w:hAnsi="Times New Roman" w:cs="Times New Roman"/>
          <w:color w:val="auto"/>
          <w:sz w:val="22"/>
        </w:rPr>
        <w:fldChar w:fldCharType="separate"/>
      </w:r>
      <w:proofErr w:type="gramStart"/>
      <w:r w:rsidR="007F2EB9" w:rsidRPr="00677810">
        <w:rPr>
          <w:rFonts w:ascii="Times New Roman" w:hAnsi="Times New Roman" w:cs="Times New Roman"/>
          <w:color w:val="auto"/>
          <w:sz w:val="22"/>
        </w:rPr>
        <w:t>3</w:t>
      </w:r>
      <w:r w:rsidRPr="00677810">
        <w:rPr>
          <w:rFonts w:ascii="Times New Roman" w:hAnsi="Times New Roman" w:cs="Times New Roman"/>
          <w:color w:val="auto"/>
          <w:sz w:val="22"/>
        </w:rPr>
        <w:fldChar w:fldCharType="end"/>
      </w:r>
      <w:r w:rsidR="00BD3E87" w:rsidRPr="00677810">
        <w:rPr>
          <w:rFonts w:ascii="Times New Roman" w:hAnsi="Times New Roman" w:cs="Times New Roman"/>
          <w:color w:val="auto"/>
          <w:sz w:val="22"/>
        </w:rPr>
        <w:t>. táblázat: Fajlagos felület és agyagásvány tartalom</w:t>
      </w:r>
      <w:proofErr w:type="gramEnd"/>
      <w:r w:rsidR="00BD3E87" w:rsidRPr="00677810">
        <w:rPr>
          <w:rFonts w:ascii="Times New Roman" w:hAnsi="Times New Roman" w:cs="Times New Roman"/>
          <w:color w:val="auto"/>
          <w:sz w:val="22"/>
        </w:rPr>
        <w:t xml:space="preserve"> </w:t>
      </w:r>
      <w:r w:rsidRPr="00677810">
        <w:rPr>
          <w:rFonts w:ascii="Times New Roman" w:hAnsi="Times New Roman" w:cs="Times New Roman"/>
          <w:color w:val="auto"/>
          <w:sz w:val="22"/>
        </w:rPr>
        <w:fldChar w:fldCharType="begin" w:fldLock="1"/>
      </w:r>
      <w:r w:rsidR="006E4204" w:rsidRPr="00677810">
        <w:rPr>
          <w:rFonts w:ascii="Times New Roman" w:hAnsi="Times New Roman" w:cs="Times New Roman"/>
          <w:color w:val="auto"/>
          <w:sz w:val="22"/>
        </w:rPr>
        <w:instrText>ADDIN CSL_CITATION {"citationItems":[{"id":"ITEM-1","itemData":{"DOI":"10.1346/CCMN.2007.0550506","ISSN":"00098604","abstract":"As the water content is increased, the consistency of a fine-grained soil changes from a semi-solid state to a plastic state and finally to a liquid state. The plastic limit (PL) is the point at which the consistency, caused by the soil water content, is transformed from a semi-solid state to a plastic state. The liquid limit (LL) is the point at which the consistency is transformed from a plastic state to a liquid state. The plastic limit and liquid limit are often collectively referred to as the Atterberg (or consistency) Limits. Although the liquid and plastic limits are easily determined, fundamental interpretations of the limits and quantitative relationships between their values and compositional factors are more complex. Previous studies examined artificially-prepared soil samples that contained monomineralic clays and a non-clay substance (quartz sand). These studies have shown that in soils without expandable clays the PL and LL water contents were mostly related to surface area and clay content. For soils that contain expandable clays, the PL and LL values are also dependent on interlayer water content. Hence, expandable clay mineral contents are needed to calculate PL and LL values. These relationships have been presented in a general analytical form. The aim of these investigations was to identify practical applications. Mineral compositions and surface areas of five randomly selected natural soil samples were used to estimate PL and LL values. The estimated values were compared to experimentally measured liquid limits (by the 'fallcone' test) and plastic limit (by the 'rolling thread' test) values. The measured PL values ranged from 18.77 to 44.92% and the LL values from 31.19 to 82.10%. The differences between estimated and measured Atterberg Limits were 3.0-7.1 % for the PL and 2.7-7.8% for the LL. Minor differences in measured and estimated Atterberg Limits were probably due to soil organic matter (1.2-2.7%). Copyright © 2007, The Clay Minerals Society.","author":[{"dropping-particle":"","family":"Dolinar","given":"Bojana","non-dropping-particle":"","parse-names":false,"suffix":""},{"dropping-particle":"","family":"Mišič","given":"Miha","non-dropping-particle":"","parse-names":false,"suffix":""},{"dropping-particle":"","family":"Trauner","given":"Ludvik","non-dropping-particle":"","parse-names":false,"suffix":""}],"container-title":"Clays and Clay Minerals","id":"ITEM-1","issue":"5","issued":{"date-parts":[["2007"]]},"page":"519-523","title":"Correlation between surface area and Atterberg limits of fine-grained soils","type":"article-journal","volume":"55"},"uris":["http://www.mendeley.com/documents/?uuid=3c96c686-ccf9-4f22-8bd3-aa762dfefde8"]}],"mendeley":{"formattedCitation":"[11]","plainTextFormattedCitation":"[11]","previouslyFormattedCitation":"[11]"},"properties":{"noteIndex":0},"schema":"https://github.com/citation-style-language/schema/raw/master/csl-citation.json"}</w:instrText>
      </w:r>
      <w:r w:rsidRPr="00677810">
        <w:rPr>
          <w:rFonts w:ascii="Times New Roman" w:hAnsi="Times New Roman" w:cs="Times New Roman"/>
          <w:color w:val="auto"/>
          <w:sz w:val="22"/>
        </w:rPr>
        <w:fldChar w:fldCharType="separate"/>
      </w:r>
      <w:r w:rsidR="007F2EB9" w:rsidRPr="00677810">
        <w:rPr>
          <w:rFonts w:ascii="Times New Roman" w:hAnsi="Times New Roman" w:cs="Times New Roman"/>
          <w:noProof/>
          <w:color w:val="auto"/>
          <w:sz w:val="22"/>
        </w:rPr>
        <w:t>[11]</w:t>
      </w:r>
      <w:r w:rsidRPr="00677810">
        <w:rPr>
          <w:rFonts w:ascii="Times New Roman" w:hAnsi="Times New Roman" w:cs="Times New Roman"/>
          <w:color w:val="auto"/>
          <w:sz w:val="22"/>
        </w:rPr>
        <w:fldChar w:fldCharType="end"/>
      </w:r>
    </w:p>
    <w:p w:rsidR="00BD3E87" w:rsidRPr="00070A1E" w:rsidRDefault="00BD3E87" w:rsidP="00BD3E87">
      <w:pPr>
        <w:jc w:val="center"/>
        <w:rPr>
          <w:rFonts w:ascii="Times New Roman" w:hAnsi="Times New Roman" w:cs="Times New Roman"/>
          <w:sz w:val="24"/>
        </w:rPr>
      </w:pPr>
      <w:r w:rsidRPr="00070A1E">
        <w:rPr>
          <w:rFonts w:ascii="Times New Roman" w:hAnsi="Times New Roman" w:cs="Times New Roman"/>
          <w:noProof/>
          <w:sz w:val="24"/>
          <w:lang w:eastAsia="hu-HU"/>
        </w:rPr>
        <w:drawing>
          <wp:inline distT="0" distB="0" distL="0" distR="0">
            <wp:extent cx="4069871" cy="1591457"/>
            <wp:effectExtent l="19050" t="0" r="6829" b="0"/>
            <wp:docPr id="2"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cstate="print"/>
                    <a:srcRect/>
                    <a:stretch>
                      <a:fillRect/>
                    </a:stretch>
                  </pic:blipFill>
                  <pic:spPr bwMode="auto">
                    <a:xfrm>
                      <a:off x="0" y="0"/>
                      <a:ext cx="4073061" cy="1592704"/>
                    </a:xfrm>
                    <a:prstGeom prst="rect">
                      <a:avLst/>
                    </a:prstGeom>
                    <a:noFill/>
                    <a:ln w="9525">
                      <a:noFill/>
                      <a:miter lim="800000"/>
                      <a:headEnd/>
                      <a:tailEnd/>
                    </a:ln>
                  </pic:spPr>
                </pic:pic>
              </a:graphicData>
            </a:graphic>
          </wp:inline>
        </w:drawing>
      </w:r>
    </w:p>
    <w:p w:rsidR="006678B5" w:rsidRPr="00070A1E" w:rsidRDefault="00BD3E87" w:rsidP="00C9406D">
      <w:pPr>
        <w:ind w:firstLine="708"/>
        <w:jc w:val="both"/>
        <w:rPr>
          <w:rFonts w:ascii="Times New Roman" w:hAnsi="Times New Roman" w:cs="Times New Roman"/>
          <w:sz w:val="24"/>
        </w:rPr>
      </w:pPr>
      <w:r w:rsidRPr="00070A1E">
        <w:rPr>
          <w:rFonts w:ascii="Times New Roman" w:hAnsi="Times New Roman" w:cs="Times New Roman"/>
          <w:sz w:val="24"/>
        </w:rPr>
        <w:t xml:space="preserve">Létható, hogy az agyagásványtartalom növekedése a fajlagos </w:t>
      </w:r>
      <w:proofErr w:type="gramStart"/>
      <w:r w:rsidRPr="00070A1E">
        <w:rPr>
          <w:rFonts w:ascii="Times New Roman" w:hAnsi="Times New Roman" w:cs="Times New Roman"/>
          <w:sz w:val="24"/>
        </w:rPr>
        <w:t>felület jelentős</w:t>
      </w:r>
      <w:proofErr w:type="gramEnd"/>
      <w:r w:rsidRPr="00070A1E">
        <w:rPr>
          <w:rFonts w:ascii="Times New Roman" w:hAnsi="Times New Roman" w:cs="Times New Roman"/>
          <w:sz w:val="24"/>
        </w:rPr>
        <w:t xml:space="preserve"> növekedésével jár. </w:t>
      </w:r>
      <w:r w:rsidR="00C9406D" w:rsidRPr="00070A1E">
        <w:rPr>
          <w:rFonts w:ascii="Times New Roman" w:hAnsi="Times New Roman" w:cs="Times New Roman"/>
          <w:sz w:val="24"/>
        </w:rPr>
        <w:t>Ezt úgy is meg lehet fogalmazni, hogy a kisebb szemcsék nagyobb aránya megnövekedett fajlagos felülethez vezet.</w:t>
      </w:r>
    </w:p>
    <w:p w:rsidR="00C9406D" w:rsidRPr="00070A1E" w:rsidRDefault="00C9406D" w:rsidP="00D815DB">
      <w:pPr>
        <w:jc w:val="both"/>
        <w:rPr>
          <w:rFonts w:ascii="Times New Roman" w:hAnsi="Times New Roman" w:cs="Times New Roman"/>
          <w:sz w:val="24"/>
        </w:rPr>
      </w:pPr>
    </w:p>
    <w:p w:rsidR="004A3830" w:rsidRPr="00070A1E" w:rsidRDefault="004A3830" w:rsidP="004A3830">
      <w:pPr>
        <w:jc w:val="center"/>
        <w:rPr>
          <w:rFonts w:ascii="Times New Roman" w:hAnsi="Times New Roman" w:cs="Times New Roman"/>
          <w:b/>
          <w:sz w:val="24"/>
          <w:u w:val="single"/>
        </w:rPr>
      </w:pPr>
      <w:r w:rsidRPr="00070A1E">
        <w:rPr>
          <w:rFonts w:ascii="Times New Roman" w:hAnsi="Times New Roman" w:cs="Times New Roman"/>
          <w:b/>
          <w:sz w:val="24"/>
          <w:u w:val="single"/>
        </w:rPr>
        <w:t>Porozitás</w:t>
      </w:r>
    </w:p>
    <w:p w:rsidR="00A2161D" w:rsidRPr="00070A1E" w:rsidRDefault="004A3830" w:rsidP="00C9406D">
      <w:pPr>
        <w:ind w:firstLine="708"/>
        <w:jc w:val="both"/>
        <w:rPr>
          <w:rFonts w:ascii="Times New Roman" w:hAnsi="Times New Roman" w:cs="Times New Roman"/>
          <w:sz w:val="24"/>
        </w:rPr>
      </w:pPr>
      <w:r w:rsidRPr="00070A1E">
        <w:rPr>
          <w:rFonts w:ascii="Times New Roman" w:hAnsi="Times New Roman" w:cs="Times New Roman"/>
          <w:sz w:val="24"/>
        </w:rPr>
        <w:t>A porozitás</w:t>
      </w:r>
      <w:r w:rsidR="000B0D13" w:rsidRPr="00070A1E">
        <w:rPr>
          <w:rFonts w:ascii="Times New Roman" w:hAnsi="Times New Roman" w:cs="Times New Roman"/>
          <w:sz w:val="24"/>
        </w:rPr>
        <w:t xml:space="preserve"> (ε)</w:t>
      </w:r>
      <w:r w:rsidRPr="00070A1E">
        <w:rPr>
          <w:rFonts w:ascii="Times New Roman" w:hAnsi="Times New Roman" w:cs="Times New Roman"/>
          <w:sz w:val="24"/>
        </w:rPr>
        <w:t xml:space="preserve"> </w:t>
      </w:r>
      <w:r w:rsidR="00CD68AC" w:rsidRPr="00070A1E">
        <w:rPr>
          <w:rFonts w:ascii="Times New Roman" w:hAnsi="Times New Roman" w:cs="Times New Roman"/>
          <w:sz w:val="24"/>
        </w:rPr>
        <w:t>az</w:t>
      </w:r>
      <w:r w:rsidRPr="00070A1E">
        <w:rPr>
          <w:rFonts w:ascii="Times New Roman" w:hAnsi="Times New Roman" w:cs="Times New Roman"/>
          <w:sz w:val="24"/>
        </w:rPr>
        <w:t xml:space="preserve"> arány, ami azt fejezi ki, hogy a </w:t>
      </w:r>
      <w:r w:rsidR="00C9406D" w:rsidRPr="00070A1E">
        <w:rPr>
          <w:rFonts w:ascii="Times New Roman" w:hAnsi="Times New Roman" w:cs="Times New Roman"/>
          <w:sz w:val="24"/>
        </w:rPr>
        <w:t xml:space="preserve">teljes </w:t>
      </w:r>
      <w:r w:rsidRPr="00070A1E">
        <w:rPr>
          <w:rFonts w:ascii="Times New Roman" w:hAnsi="Times New Roman" w:cs="Times New Roman"/>
          <w:sz w:val="24"/>
        </w:rPr>
        <w:t>térfogat mekkora hányadát teszi ki</w:t>
      </w:r>
      <w:r w:rsidR="00CD68AC" w:rsidRPr="00070A1E">
        <w:rPr>
          <w:rFonts w:ascii="Times New Roman" w:hAnsi="Times New Roman" w:cs="Times New Roman"/>
          <w:sz w:val="24"/>
        </w:rPr>
        <w:t xml:space="preserve"> a pórustérfogat. Természetes talajokra </w:t>
      </w:r>
      <w:r w:rsidR="000B0D13" w:rsidRPr="00070A1E">
        <w:rPr>
          <w:rFonts w:ascii="Times New Roman" w:hAnsi="Times New Roman" w:cs="Times New Roman"/>
          <w:sz w:val="24"/>
        </w:rPr>
        <w:t xml:space="preserve">ε = </w:t>
      </w:r>
      <w:r w:rsidR="00CD68AC" w:rsidRPr="00070A1E">
        <w:rPr>
          <w:rFonts w:ascii="Times New Roman" w:hAnsi="Times New Roman" w:cs="Times New Roman"/>
          <w:sz w:val="24"/>
        </w:rPr>
        <w:t xml:space="preserve">0,3-0,7 közötti érték jellemző. A legfontosabb tényezők, </w:t>
      </w:r>
      <w:r w:rsidR="000B0D13" w:rsidRPr="00070A1E">
        <w:rPr>
          <w:rFonts w:ascii="Times New Roman" w:hAnsi="Times New Roman" w:cs="Times New Roman"/>
          <w:sz w:val="24"/>
        </w:rPr>
        <w:t>mel</w:t>
      </w:r>
      <w:r w:rsidR="00C9406D" w:rsidRPr="00070A1E">
        <w:rPr>
          <w:rFonts w:ascii="Times New Roman" w:hAnsi="Times New Roman" w:cs="Times New Roman"/>
          <w:sz w:val="24"/>
        </w:rPr>
        <w:t>yek</w:t>
      </w:r>
      <w:r w:rsidR="00CD68AC" w:rsidRPr="00070A1E">
        <w:rPr>
          <w:rFonts w:ascii="Times New Roman" w:hAnsi="Times New Roman" w:cs="Times New Roman"/>
          <w:sz w:val="24"/>
        </w:rPr>
        <w:t xml:space="preserve"> meghatározzák a porozitást a talaj tömörítettsége, a </w:t>
      </w:r>
      <w:proofErr w:type="spellStart"/>
      <w:r w:rsidR="00CD68AC" w:rsidRPr="00070A1E">
        <w:rPr>
          <w:rFonts w:ascii="Times New Roman" w:hAnsi="Times New Roman" w:cs="Times New Roman"/>
          <w:sz w:val="24"/>
        </w:rPr>
        <w:t>pórusméreteloszlás</w:t>
      </w:r>
      <w:proofErr w:type="spellEnd"/>
      <w:r w:rsidR="00CD68AC" w:rsidRPr="00070A1E">
        <w:rPr>
          <w:rFonts w:ascii="Times New Roman" w:hAnsi="Times New Roman" w:cs="Times New Roman"/>
          <w:sz w:val="24"/>
        </w:rPr>
        <w:t xml:space="preserve">, és a szemcsealak. Egy </w:t>
      </w:r>
      <w:proofErr w:type="spellStart"/>
      <w:r w:rsidR="00CD68AC" w:rsidRPr="00070A1E">
        <w:rPr>
          <w:rFonts w:ascii="Times New Roman" w:hAnsi="Times New Roman" w:cs="Times New Roman"/>
          <w:sz w:val="24"/>
        </w:rPr>
        <w:t>monodiszperz</w:t>
      </w:r>
      <w:proofErr w:type="spellEnd"/>
      <w:r w:rsidR="00CD68AC" w:rsidRPr="00070A1E">
        <w:rPr>
          <w:rFonts w:ascii="Times New Roman" w:hAnsi="Times New Roman" w:cs="Times New Roman"/>
          <w:sz w:val="24"/>
        </w:rPr>
        <w:t>, gömb alakú szemcsékből álló rendszerben a fajlagos felület</w:t>
      </w:r>
      <w:r w:rsidR="00C9406D" w:rsidRPr="00070A1E">
        <w:rPr>
          <w:rFonts w:ascii="Times New Roman" w:hAnsi="Times New Roman" w:cs="Times New Roman"/>
          <w:sz w:val="24"/>
        </w:rPr>
        <w:t xml:space="preserve"> </w:t>
      </w:r>
      <w:r w:rsidR="000B0D13" w:rsidRPr="00070A1E">
        <w:rPr>
          <w:rFonts w:ascii="Times New Roman" w:hAnsi="Times New Roman" w:cs="Times New Roman"/>
          <w:sz w:val="24"/>
        </w:rPr>
        <w:t xml:space="preserve">ε = </w:t>
      </w:r>
      <w:r w:rsidR="00C9406D" w:rsidRPr="00070A1E">
        <w:rPr>
          <w:rFonts w:ascii="Times New Roman" w:hAnsi="Times New Roman" w:cs="Times New Roman"/>
          <w:sz w:val="24"/>
        </w:rPr>
        <w:t>0,26-0,5 között várható, amit természetes</w:t>
      </w:r>
      <w:r w:rsidR="00CD68AC" w:rsidRPr="00070A1E">
        <w:rPr>
          <w:rFonts w:ascii="Times New Roman" w:hAnsi="Times New Roman" w:cs="Times New Roman"/>
          <w:sz w:val="24"/>
        </w:rPr>
        <w:t xml:space="preserve"> talajok közül csupán egy </w:t>
      </w:r>
      <w:proofErr w:type="spellStart"/>
      <w:r w:rsidR="00CD68AC" w:rsidRPr="00070A1E">
        <w:rPr>
          <w:rFonts w:ascii="Times New Roman" w:hAnsi="Times New Roman" w:cs="Times New Roman"/>
          <w:sz w:val="24"/>
        </w:rPr>
        <w:t>monodiszperz</w:t>
      </w:r>
      <w:proofErr w:type="spellEnd"/>
      <w:r w:rsidR="00CD68AC" w:rsidRPr="00070A1E">
        <w:rPr>
          <w:rFonts w:ascii="Times New Roman" w:hAnsi="Times New Roman" w:cs="Times New Roman"/>
          <w:sz w:val="24"/>
        </w:rPr>
        <w:t xml:space="preserve"> homokminta tud reprodukálni. Kisebb szemcsék jelenléte (</w:t>
      </w:r>
      <w:proofErr w:type="spellStart"/>
      <w:r w:rsidR="00CD68AC" w:rsidRPr="00070A1E">
        <w:rPr>
          <w:rFonts w:ascii="Times New Roman" w:hAnsi="Times New Roman" w:cs="Times New Roman"/>
          <w:sz w:val="24"/>
        </w:rPr>
        <w:t>polidiszperzitás</w:t>
      </w:r>
      <w:proofErr w:type="spellEnd"/>
      <w:r w:rsidR="00CD68AC" w:rsidRPr="00070A1E">
        <w:rPr>
          <w:rFonts w:ascii="Times New Roman" w:hAnsi="Times New Roman" w:cs="Times New Roman"/>
          <w:sz w:val="24"/>
        </w:rPr>
        <w:t>) csökkenti a fajlagos felületet, mert a kis szemcsék be tudnak jutni a nagy szemcsék közé,</w:t>
      </w:r>
      <w:r w:rsidR="00C9406D" w:rsidRPr="00070A1E">
        <w:rPr>
          <w:rFonts w:ascii="Times New Roman" w:hAnsi="Times New Roman" w:cs="Times New Roman"/>
          <w:sz w:val="24"/>
        </w:rPr>
        <w:t xml:space="preserve"> eltömítve a nagyobb pórusokat, réseket. Ezáltal </w:t>
      </w:r>
      <w:proofErr w:type="spellStart"/>
      <w:r w:rsidR="00CD68AC" w:rsidRPr="00070A1E">
        <w:rPr>
          <w:rFonts w:ascii="Times New Roman" w:hAnsi="Times New Roman" w:cs="Times New Roman"/>
          <w:sz w:val="24"/>
        </w:rPr>
        <w:t>polidiszperz</w:t>
      </w:r>
      <w:proofErr w:type="spellEnd"/>
      <w:r w:rsidR="00CD68AC" w:rsidRPr="00070A1E">
        <w:rPr>
          <w:rFonts w:ascii="Times New Roman" w:hAnsi="Times New Roman" w:cs="Times New Roman"/>
          <w:sz w:val="24"/>
        </w:rPr>
        <w:t xml:space="preserve"> homokmintákra </w:t>
      </w:r>
      <w:r w:rsidR="000B0D13" w:rsidRPr="00070A1E">
        <w:rPr>
          <w:rFonts w:ascii="Times New Roman" w:hAnsi="Times New Roman" w:cs="Times New Roman"/>
          <w:sz w:val="24"/>
        </w:rPr>
        <w:t xml:space="preserve">ε = </w:t>
      </w:r>
      <w:r w:rsidR="00CD68AC" w:rsidRPr="00070A1E">
        <w:rPr>
          <w:rFonts w:ascii="Times New Roman" w:hAnsi="Times New Roman" w:cs="Times New Roman"/>
          <w:sz w:val="24"/>
        </w:rPr>
        <w:t xml:space="preserve">0,3 körüli értékek jellemzőek. </w:t>
      </w:r>
      <w:proofErr w:type="gramStart"/>
      <w:r w:rsidR="00CD68AC" w:rsidRPr="00070A1E">
        <w:rPr>
          <w:rFonts w:ascii="Times New Roman" w:hAnsi="Times New Roman" w:cs="Times New Roman"/>
          <w:sz w:val="24"/>
        </w:rPr>
        <w:t xml:space="preserve">Kevésbé </w:t>
      </w:r>
      <w:r w:rsidR="00C9406D" w:rsidRPr="00070A1E">
        <w:rPr>
          <w:rFonts w:ascii="Times New Roman" w:hAnsi="Times New Roman" w:cs="Times New Roman"/>
          <w:sz w:val="24"/>
        </w:rPr>
        <w:t>gömbszerű</w:t>
      </w:r>
      <w:r w:rsidR="0008166F" w:rsidRPr="00070A1E">
        <w:rPr>
          <w:rFonts w:ascii="Times New Roman" w:hAnsi="Times New Roman" w:cs="Times New Roman"/>
          <w:sz w:val="24"/>
        </w:rPr>
        <w:t xml:space="preserve"> szemcsealak esetén a porozitás nő.</w:t>
      </w:r>
      <w:proofErr w:type="gramEnd"/>
      <w:r w:rsidR="0008166F" w:rsidRPr="00070A1E">
        <w:rPr>
          <w:rFonts w:ascii="Times New Roman" w:hAnsi="Times New Roman" w:cs="Times New Roman"/>
          <w:sz w:val="24"/>
        </w:rPr>
        <w:t xml:space="preserve"> </w:t>
      </w:r>
      <w:r w:rsidR="001E0539" w:rsidRPr="00070A1E">
        <w:rPr>
          <w:rFonts w:ascii="Times New Roman" w:hAnsi="Times New Roman" w:cs="Times New Roman"/>
          <w:sz w:val="24"/>
        </w:rPr>
        <w:fldChar w:fldCharType="begin" w:fldLock="1"/>
      </w:r>
      <w:r w:rsidR="005A166B" w:rsidRPr="00070A1E">
        <w:rPr>
          <w:rFonts w:ascii="Times New Roman"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001E0539" w:rsidRPr="00070A1E">
        <w:rPr>
          <w:rFonts w:ascii="Times New Roman" w:hAnsi="Times New Roman" w:cs="Times New Roman"/>
          <w:sz w:val="24"/>
        </w:rPr>
        <w:fldChar w:fldCharType="separate"/>
      </w:r>
      <w:r w:rsidR="002C1A14" w:rsidRPr="00070A1E">
        <w:rPr>
          <w:rFonts w:ascii="Times New Roman" w:hAnsi="Times New Roman" w:cs="Times New Roman"/>
          <w:noProof/>
          <w:sz w:val="24"/>
        </w:rPr>
        <w:t>[3]</w:t>
      </w:r>
      <w:r w:rsidR="001E0539" w:rsidRPr="00070A1E">
        <w:rPr>
          <w:rFonts w:ascii="Times New Roman" w:hAnsi="Times New Roman" w:cs="Times New Roman"/>
          <w:sz w:val="24"/>
        </w:rPr>
        <w:fldChar w:fldCharType="end"/>
      </w:r>
    </w:p>
    <w:p w:rsidR="004A3830" w:rsidRPr="00070A1E" w:rsidRDefault="0008166F" w:rsidP="00A2161D">
      <w:pPr>
        <w:ind w:firstLine="708"/>
        <w:jc w:val="both"/>
        <w:rPr>
          <w:rFonts w:ascii="Times New Roman" w:hAnsi="Times New Roman" w:cs="Times New Roman"/>
          <w:sz w:val="24"/>
        </w:rPr>
      </w:pPr>
      <w:r w:rsidRPr="00070A1E">
        <w:rPr>
          <w:rFonts w:ascii="Times New Roman" w:hAnsi="Times New Roman" w:cs="Times New Roman"/>
          <w:sz w:val="24"/>
        </w:rPr>
        <w:t xml:space="preserve">Hatása van továbbá a különböző kötőanyagoknak, melyek jelenléte csökkenti a pórustérfogatot, a szemcsék között. A szerves anyagok is kötőanyagok, azonban jellemzően növelik a pórustérfogatot. Ennek oka, hogy nagyobb </w:t>
      </w:r>
      <w:r w:rsidR="00A03607" w:rsidRPr="00070A1E">
        <w:rPr>
          <w:rFonts w:ascii="Times New Roman" w:hAnsi="Times New Roman" w:cs="Times New Roman"/>
          <w:sz w:val="24"/>
        </w:rPr>
        <w:t xml:space="preserve">aggregátumokat képeznek, és - noha egyetlen aggregátum porozitása kisebb, mint az azt alkotó szemcsék által alkotott minta porozitása - </w:t>
      </w:r>
      <w:r w:rsidRPr="00070A1E">
        <w:rPr>
          <w:rFonts w:ascii="Times New Roman" w:hAnsi="Times New Roman" w:cs="Times New Roman"/>
          <w:sz w:val="24"/>
        </w:rPr>
        <w:t>az aggregátumok összessége nagyobb pórustérfogattal rendelkezhet</w:t>
      </w:r>
      <w:r w:rsidR="00A03607" w:rsidRPr="00070A1E">
        <w:rPr>
          <w:rFonts w:ascii="Times New Roman" w:hAnsi="Times New Roman" w:cs="Times New Roman"/>
          <w:sz w:val="24"/>
        </w:rPr>
        <w:t xml:space="preserve"> (ε = 0,5-0,9)</w:t>
      </w:r>
      <w:r w:rsidRPr="00070A1E">
        <w:rPr>
          <w:rFonts w:ascii="Times New Roman" w:hAnsi="Times New Roman" w:cs="Times New Roman"/>
          <w:sz w:val="24"/>
        </w:rPr>
        <w:t xml:space="preserve"> a köztük kialakuló új pórusok miatt, mint a szerves anyag nélküli szemcsék összessége. </w:t>
      </w:r>
      <w:proofErr w:type="gramStart"/>
      <w:r w:rsidRPr="00070A1E">
        <w:rPr>
          <w:rFonts w:ascii="Times New Roman" w:hAnsi="Times New Roman" w:cs="Times New Roman"/>
          <w:sz w:val="24"/>
        </w:rPr>
        <w:t xml:space="preserve">A felső értékeket igen nagy </w:t>
      </w:r>
      <w:r w:rsidR="00234373" w:rsidRPr="00070A1E">
        <w:rPr>
          <w:rFonts w:ascii="Times New Roman" w:hAnsi="Times New Roman" w:cs="Times New Roman"/>
          <w:sz w:val="24"/>
        </w:rPr>
        <w:t>szerves anyag</w:t>
      </w:r>
      <w:r w:rsidRPr="00070A1E">
        <w:rPr>
          <w:rFonts w:ascii="Times New Roman" w:hAnsi="Times New Roman" w:cs="Times New Roman"/>
          <w:sz w:val="24"/>
        </w:rPr>
        <w:t xml:space="preserve"> tartalom mellet lehetett megfigyelni.</w:t>
      </w:r>
      <w:proofErr w:type="gramEnd"/>
      <w:r w:rsidR="001E0539" w:rsidRPr="00070A1E">
        <w:rPr>
          <w:rFonts w:ascii="Times New Roman" w:hAnsi="Times New Roman" w:cs="Times New Roman"/>
          <w:sz w:val="24"/>
        </w:rPr>
        <w:fldChar w:fldCharType="begin" w:fldLock="1"/>
      </w:r>
      <w:r w:rsidR="005A166B" w:rsidRPr="00070A1E">
        <w:rPr>
          <w:rFonts w:ascii="Times New Roman"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001E0539" w:rsidRPr="00070A1E">
        <w:rPr>
          <w:rFonts w:ascii="Times New Roman" w:hAnsi="Times New Roman" w:cs="Times New Roman"/>
          <w:sz w:val="24"/>
        </w:rPr>
        <w:fldChar w:fldCharType="separate"/>
      </w:r>
      <w:r w:rsidR="002C1A14" w:rsidRPr="00070A1E">
        <w:rPr>
          <w:rFonts w:ascii="Times New Roman" w:hAnsi="Times New Roman" w:cs="Times New Roman"/>
          <w:noProof/>
          <w:sz w:val="24"/>
        </w:rPr>
        <w:t>[3]</w:t>
      </w:r>
      <w:r w:rsidR="001E0539" w:rsidRPr="00070A1E">
        <w:rPr>
          <w:rFonts w:ascii="Times New Roman" w:hAnsi="Times New Roman" w:cs="Times New Roman"/>
          <w:sz w:val="24"/>
        </w:rPr>
        <w:fldChar w:fldCharType="end"/>
      </w:r>
    </w:p>
    <w:p w:rsidR="004A3830" w:rsidRPr="00070A1E" w:rsidRDefault="00A2161D" w:rsidP="00234373">
      <w:pPr>
        <w:ind w:firstLine="708"/>
        <w:jc w:val="both"/>
        <w:rPr>
          <w:rFonts w:ascii="Times New Roman" w:hAnsi="Times New Roman" w:cs="Times New Roman"/>
          <w:sz w:val="24"/>
        </w:rPr>
      </w:pPr>
      <w:r w:rsidRPr="00070A1E">
        <w:rPr>
          <w:rFonts w:ascii="Times New Roman" w:hAnsi="Times New Roman" w:cs="Times New Roman"/>
          <w:sz w:val="24"/>
        </w:rPr>
        <w:t>Talajminták porozitása mérhető speciális piknométeres technológiával, amikor is a vízzel telített minta és a száraz minta töm</w:t>
      </w:r>
      <w:r w:rsidR="00234373" w:rsidRPr="00070A1E">
        <w:rPr>
          <w:rFonts w:ascii="Times New Roman" w:hAnsi="Times New Roman" w:cs="Times New Roman"/>
          <w:sz w:val="24"/>
        </w:rPr>
        <w:t xml:space="preserve">egéből számítják a porozitást, </w:t>
      </w:r>
      <w:r w:rsidRPr="00070A1E">
        <w:rPr>
          <w:rFonts w:ascii="Times New Roman" w:hAnsi="Times New Roman" w:cs="Times New Roman"/>
          <w:sz w:val="24"/>
        </w:rPr>
        <w:t xml:space="preserve">vagy teljesen száraz minta esetén a pórusokat kitöltő gáztérfogatot határozzák meg. </w:t>
      </w:r>
      <w:proofErr w:type="gramStart"/>
      <w:r w:rsidRPr="00070A1E">
        <w:rPr>
          <w:rFonts w:ascii="Times New Roman" w:hAnsi="Times New Roman" w:cs="Times New Roman"/>
          <w:sz w:val="24"/>
        </w:rPr>
        <w:t>Ha a részecsk</w:t>
      </w:r>
      <w:r w:rsidR="00D80226" w:rsidRPr="00070A1E">
        <w:rPr>
          <w:rFonts w:ascii="Times New Roman" w:hAnsi="Times New Roman" w:cs="Times New Roman"/>
          <w:sz w:val="24"/>
        </w:rPr>
        <w:t>ék tényleges</w:t>
      </w:r>
      <w:r w:rsidRPr="00070A1E">
        <w:rPr>
          <w:rFonts w:ascii="Times New Roman" w:hAnsi="Times New Roman" w:cs="Times New Roman"/>
          <w:sz w:val="24"/>
        </w:rPr>
        <w:t xml:space="preserve"> sűrűsége meghatározható, akkor a minta</w:t>
      </w:r>
      <w:r w:rsidR="00BB7C97" w:rsidRPr="00070A1E">
        <w:rPr>
          <w:rFonts w:ascii="Times New Roman" w:hAnsi="Times New Roman" w:cs="Times New Roman"/>
          <w:sz w:val="24"/>
        </w:rPr>
        <w:t xml:space="preserve"> </w:t>
      </w:r>
      <w:r w:rsidRPr="00070A1E">
        <w:rPr>
          <w:rFonts w:ascii="Times New Roman" w:hAnsi="Times New Roman" w:cs="Times New Roman"/>
          <w:sz w:val="24"/>
        </w:rPr>
        <w:t xml:space="preserve">látszólagos sűrűségének segítségével számítható a </w:t>
      </w:r>
      <w:r w:rsidRPr="00070A1E">
        <w:rPr>
          <w:rFonts w:ascii="Times New Roman" w:hAnsi="Times New Roman" w:cs="Times New Roman"/>
          <w:sz w:val="24"/>
        </w:rPr>
        <w:lastRenderedPageBreak/>
        <w:t>porozitás.</w:t>
      </w:r>
      <w:proofErr w:type="gramEnd"/>
      <w:r w:rsidRPr="00070A1E">
        <w:rPr>
          <w:rFonts w:ascii="Times New Roman" w:hAnsi="Times New Roman" w:cs="Times New Roman"/>
          <w:sz w:val="24"/>
        </w:rPr>
        <w:t xml:space="preserve"> </w:t>
      </w:r>
      <w:r w:rsidR="001E0539" w:rsidRPr="00070A1E">
        <w:rPr>
          <w:rFonts w:ascii="Times New Roman" w:hAnsi="Times New Roman" w:cs="Times New Roman"/>
          <w:sz w:val="24"/>
        </w:rPr>
        <w:fldChar w:fldCharType="begin" w:fldLock="1"/>
      </w:r>
      <w:r w:rsidR="005A166B" w:rsidRPr="00070A1E">
        <w:rPr>
          <w:rFonts w:ascii="Times New Roman"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001E0539" w:rsidRPr="00070A1E">
        <w:rPr>
          <w:rFonts w:ascii="Times New Roman" w:hAnsi="Times New Roman" w:cs="Times New Roman"/>
          <w:sz w:val="24"/>
        </w:rPr>
        <w:fldChar w:fldCharType="separate"/>
      </w:r>
      <w:r w:rsidR="002C1A14" w:rsidRPr="00070A1E">
        <w:rPr>
          <w:rFonts w:ascii="Times New Roman" w:hAnsi="Times New Roman" w:cs="Times New Roman"/>
          <w:noProof/>
          <w:sz w:val="24"/>
        </w:rPr>
        <w:t>[3]</w:t>
      </w:r>
      <w:r w:rsidR="001E0539" w:rsidRPr="00070A1E">
        <w:rPr>
          <w:rFonts w:ascii="Times New Roman" w:hAnsi="Times New Roman" w:cs="Times New Roman"/>
          <w:sz w:val="24"/>
        </w:rPr>
        <w:fldChar w:fldCharType="end"/>
      </w:r>
      <w:r w:rsidRPr="00070A1E">
        <w:rPr>
          <w:rFonts w:ascii="Times New Roman" w:hAnsi="Times New Roman" w:cs="Times New Roman"/>
          <w:sz w:val="24"/>
        </w:rPr>
        <w:t>.</w:t>
      </w:r>
      <w:r w:rsidR="00D80226" w:rsidRPr="00070A1E">
        <w:rPr>
          <w:rFonts w:ascii="Times New Roman" w:hAnsi="Times New Roman" w:cs="Times New Roman"/>
          <w:sz w:val="24"/>
        </w:rPr>
        <w:t xml:space="preserve"> A látszólagos sűrűséget például vízzel telített minta zsugorodása közben határozzák meg különböző nedvességtartalmak mellett. </w:t>
      </w:r>
      <w:proofErr w:type="gramStart"/>
      <w:r w:rsidR="00D80226" w:rsidRPr="00070A1E">
        <w:rPr>
          <w:rFonts w:ascii="Times New Roman" w:hAnsi="Times New Roman" w:cs="Times New Roman"/>
          <w:sz w:val="24"/>
        </w:rPr>
        <w:t>A fentiek mellett alkalmazható higanyporozimetria is.</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{"citationItems":[{"id":"ITEM-1","itemData":{"DOI":"10.1016/S0167-1987(98)00092-0","ISSN":"01671987","abstract":"Knowledge of the soil components controlling aggregate formation and stability is fundamental to the conservation of soil structure. In this work, the effects of Fe and organic matter (OM) on the porosity and structural stability of aggregates &lt;4 mm of two cropped soils from Galicia (NW Spain) were determined. Porosity was estimated directly, by mercury intrusion porosimetry, and indirectly, from moisture characteristic and shrinkage curves. The three porosities obtained were similar and indicated that Soil 1, with the highest Fe and OM contents, had lower total porosity and a wider pore-size distribution than Soil 2. As regards structural stability, Henin and Monnier's test, simulated rainfall and dispersion experiments, and determination of textural tensile strength all indicated Soil 1 to be the more stable soil. Oxidation of OM and selective extraction of Fe, which were most concentrated in the clay and silt fractions, indicated both these components to be important soil aggregants. It is suggested that the higher content of Soil 1 in Fe and OM is responsible for its greater stability.","author":[{"dropping-particle":"","family":"Barral","given":"M. T.","non-dropping-particle":"","parse-names":false,"suffix":""},{"dropping-particle":"","family":"Arias","given":"M.","non-dropping-particle":"","parse-names":false,"suffix":""},{"dropping-particle":"","family":"Guérif","given":"J.","non-dropping-particle":"","parse-names":false,"suffix":""}],"container-title":"Soil and Tillage Research","id":"ITEM-1","issue":"3-4","issued":{"date-parts":[["1998"]]},"page":"261-272","title":"Effects of iron and organic matter on the porosity and structural stability of soil aggregates","type":"article-journal","volume":"46"},"uris":["http://www.mendeley.com/documents/?uuid=288f78b4-1620-4ec0-b480-e81fcf7f6050"]}],"mendeley":{"formattedCitation":"[12]","plainTextFormattedCitation":"[12]","previouslyFormattedCitation":"[12]"},"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[12]</w:t>
      </w:r>
      <w:r w:rsidR="001E0539" w:rsidRPr="00070A1E">
        <w:rPr>
          <w:rFonts w:ascii="Times New Roman" w:hAnsi="Times New Roman" w:cs="Times New Roman"/>
          <w:sz w:val="24"/>
        </w:rPr>
        <w:fldChar w:fldCharType="end"/>
      </w:r>
    </w:p>
    <w:p w:rsidR="00BB7C97" w:rsidRPr="00070A1E" w:rsidRDefault="00BB7C97" w:rsidP="00A2161D">
      <w:pPr>
        <w:jc w:val="both"/>
        <w:rPr>
          <w:rFonts w:ascii="Times New Roman" w:hAnsi="Times New Roman" w:cs="Times New Roman"/>
          <w:sz w:val="24"/>
        </w:rPr>
      </w:pPr>
      <w:r w:rsidRPr="00070A1E">
        <w:rPr>
          <w:rFonts w:ascii="Times New Roman" w:hAnsi="Times New Roman" w:cs="Times New Roman"/>
          <w:sz w:val="24"/>
        </w:rPr>
        <w:tab/>
      </w:r>
    </w:p>
    <w:p w:rsidR="00D80226" w:rsidRPr="00070A1E" w:rsidRDefault="00D80226" w:rsidP="00D80226">
      <w:pPr>
        <w:jc w:val="center"/>
        <w:rPr>
          <w:rFonts w:ascii="Times New Roman" w:hAnsi="Times New Roman" w:cs="Times New Roman"/>
          <w:b/>
          <w:sz w:val="24"/>
          <w:u w:val="single"/>
        </w:rPr>
      </w:pPr>
      <w:r w:rsidRPr="00070A1E">
        <w:rPr>
          <w:rFonts w:ascii="Times New Roman" w:hAnsi="Times New Roman" w:cs="Times New Roman"/>
          <w:b/>
          <w:sz w:val="24"/>
          <w:u w:val="single"/>
        </w:rPr>
        <w:t>Pórusméret eloszlás</w:t>
      </w:r>
    </w:p>
    <w:p w:rsidR="00D80226" w:rsidRPr="00070A1E" w:rsidRDefault="007A6287" w:rsidP="00D80226">
      <w:pPr>
        <w:jc w:val="both"/>
        <w:rPr>
          <w:rFonts w:ascii="Times New Roman" w:hAnsi="Times New Roman" w:cs="Times New Roman"/>
          <w:sz w:val="24"/>
        </w:rPr>
      </w:pPr>
      <w:r w:rsidRPr="00070A1E">
        <w:rPr>
          <w:rFonts w:ascii="Times New Roman" w:hAnsi="Times New Roman" w:cs="Times New Roman"/>
          <w:sz w:val="24"/>
        </w:rPr>
        <w:tab/>
        <w:t xml:space="preserve">Talajminták esetén annak meghatározása, hogy mi számít különálló pórusnak nem </w:t>
      </w:r>
      <w:r w:rsidR="000B0D13" w:rsidRPr="00070A1E">
        <w:rPr>
          <w:rFonts w:ascii="Times New Roman" w:hAnsi="Times New Roman" w:cs="Times New Roman"/>
          <w:sz w:val="24"/>
        </w:rPr>
        <w:t>egyértelmű</w:t>
      </w:r>
      <w:r w:rsidRPr="00070A1E">
        <w:rPr>
          <w:rFonts w:ascii="Times New Roman" w:hAnsi="Times New Roman" w:cs="Times New Roman"/>
          <w:sz w:val="24"/>
        </w:rPr>
        <w:t xml:space="preserve">. Az egyik általánosan elfogadott modell a </w:t>
      </w:r>
      <w:proofErr w:type="spellStart"/>
      <w:r w:rsidRPr="00070A1E">
        <w:rPr>
          <w:rFonts w:ascii="Times New Roman" w:hAnsi="Times New Roman" w:cs="Times New Roman"/>
          <w:sz w:val="24"/>
        </w:rPr>
        <w:t>víz-levegő-pórus</w:t>
      </w:r>
      <w:proofErr w:type="spellEnd"/>
      <w:r w:rsidRPr="00070A1E">
        <w:rPr>
          <w:rFonts w:ascii="Times New Roman" w:hAnsi="Times New Roman" w:cs="Times New Roman"/>
          <w:sz w:val="24"/>
        </w:rPr>
        <w:t xml:space="preserve"> rendszeren alapszik. A talaj egyik legfontosabb jellemzője a benne található víz áramlása, vagyis a hidraulikus jellemzői. Ennek megfelelően</w:t>
      </w:r>
      <w:r w:rsidR="00F0147F" w:rsidRPr="00070A1E">
        <w:rPr>
          <w:rFonts w:ascii="Times New Roman" w:hAnsi="Times New Roman" w:cs="Times New Roman"/>
          <w:sz w:val="24"/>
        </w:rPr>
        <w:t xml:space="preserve"> a talaj pórusainak </w:t>
      </w:r>
      <w:proofErr w:type="spellStart"/>
      <w:r w:rsidR="00F0147F" w:rsidRPr="00070A1E">
        <w:rPr>
          <w:rFonts w:ascii="Times New Roman" w:hAnsi="Times New Roman" w:cs="Times New Roman"/>
          <w:sz w:val="24"/>
        </w:rPr>
        <w:t>definicója</w:t>
      </w:r>
      <w:proofErr w:type="spellEnd"/>
      <w:r w:rsidR="00F0147F" w:rsidRPr="00070A1E">
        <w:rPr>
          <w:rFonts w:ascii="Times New Roman" w:hAnsi="Times New Roman" w:cs="Times New Roman"/>
          <w:sz w:val="24"/>
        </w:rPr>
        <w:t xml:space="preserve"> egy régi, de általánosan </w:t>
      </w:r>
      <w:r w:rsidR="00995CD7" w:rsidRPr="00070A1E">
        <w:rPr>
          <w:rFonts w:ascii="Times New Roman" w:hAnsi="Times New Roman" w:cs="Times New Roman"/>
          <w:sz w:val="24"/>
        </w:rPr>
        <w:t>elfogadott módja egy</w:t>
      </w:r>
      <w:r w:rsidR="00F0147F" w:rsidRPr="00070A1E">
        <w:rPr>
          <w:rFonts w:ascii="Times New Roman" w:hAnsi="Times New Roman" w:cs="Times New Roman"/>
          <w:sz w:val="24"/>
        </w:rPr>
        <w:t xml:space="preserve"> </w:t>
      </w:r>
      <w:proofErr w:type="spellStart"/>
      <w:r w:rsidR="00F0147F" w:rsidRPr="00070A1E">
        <w:rPr>
          <w:rFonts w:ascii="Times New Roman" w:hAnsi="Times New Roman" w:cs="Times New Roman"/>
          <w:sz w:val="24"/>
        </w:rPr>
        <w:t>kapilláris-hiszterézis</w:t>
      </w:r>
      <w:proofErr w:type="spellEnd"/>
      <w:r w:rsidR="00F0147F" w:rsidRPr="00070A1E">
        <w:rPr>
          <w:rFonts w:ascii="Times New Roman" w:hAnsi="Times New Roman" w:cs="Times New Roman"/>
          <w:sz w:val="24"/>
        </w:rPr>
        <w:t xml:space="preserve"> jelenségen alapszik</w:t>
      </w:r>
      <w:r w:rsidR="00995CD7" w:rsidRPr="00070A1E">
        <w:rPr>
          <w:rFonts w:ascii="Times New Roman" w:hAnsi="Times New Roman" w:cs="Times New Roman"/>
          <w:sz w:val="24"/>
        </w:rPr>
        <w:t xml:space="preserve">, a </w:t>
      </w:r>
      <w:proofErr w:type="spellStart"/>
      <w:r w:rsidR="00995CD7" w:rsidRPr="00070A1E">
        <w:rPr>
          <w:rFonts w:ascii="Times New Roman" w:hAnsi="Times New Roman" w:cs="Times New Roman"/>
          <w:sz w:val="24"/>
        </w:rPr>
        <w:t>Heines</w:t>
      </w:r>
      <w:proofErr w:type="spellEnd"/>
      <w:r w:rsidR="00995CD7" w:rsidRPr="00070A1E">
        <w:rPr>
          <w:rFonts w:ascii="Times New Roman" w:hAnsi="Times New Roman" w:cs="Times New Roman"/>
          <w:sz w:val="24"/>
        </w:rPr>
        <w:t xml:space="preserve"> ugráson</w:t>
      </w:r>
      <w:r w:rsidR="00F0147F" w:rsidRPr="00070A1E">
        <w:rPr>
          <w:rFonts w:ascii="Times New Roman" w:hAnsi="Times New Roman" w:cs="Times New Roman"/>
          <w:sz w:val="24"/>
        </w:rPr>
        <w:t xml:space="preserve">. A talaj pórusaira jellemző, hogy a bevezetőnyílásuk („nyak”) szűkebb, mint a pórus maga („test”). A nyak határozza meg azt a nyomást, amin a pórus kiürül, míg a test azt a </w:t>
      </w:r>
      <w:r w:rsidR="000B0D13" w:rsidRPr="00070A1E">
        <w:rPr>
          <w:rFonts w:ascii="Times New Roman" w:hAnsi="Times New Roman" w:cs="Times New Roman"/>
          <w:sz w:val="24"/>
        </w:rPr>
        <w:t>nyomást,</w:t>
      </w:r>
      <w:r w:rsidR="00F0147F" w:rsidRPr="00070A1E">
        <w:rPr>
          <w:rFonts w:ascii="Times New Roman" w:hAnsi="Times New Roman" w:cs="Times New Roman"/>
          <w:sz w:val="24"/>
        </w:rPr>
        <w:t xml:space="preserve"> amin feltöltődik. Amikor a minta szárad, a víz folyamatosan húzódik vissza, a folyadékfelszín görbülete pedig nő. Azonban, amikor </w:t>
      </w:r>
      <w:r w:rsidR="00995CD7" w:rsidRPr="00070A1E">
        <w:rPr>
          <w:rFonts w:ascii="Times New Roman" w:hAnsi="Times New Roman" w:cs="Times New Roman"/>
          <w:sz w:val="24"/>
        </w:rPr>
        <w:t>eléri</w:t>
      </w:r>
      <w:r w:rsidR="00F0147F" w:rsidRPr="00070A1E">
        <w:rPr>
          <w:rFonts w:ascii="Times New Roman" w:hAnsi="Times New Roman" w:cs="Times New Roman"/>
          <w:sz w:val="24"/>
        </w:rPr>
        <w:t xml:space="preserve"> a nyaki rész legkeskenyebb pontját (melytől fogva szélesedik a pórus), </w:t>
      </w:r>
      <w:r w:rsidR="00995CD7" w:rsidRPr="00070A1E">
        <w:rPr>
          <w:rFonts w:ascii="Times New Roman" w:hAnsi="Times New Roman" w:cs="Times New Roman"/>
          <w:sz w:val="24"/>
        </w:rPr>
        <w:t xml:space="preserve">ott </w:t>
      </w:r>
      <w:r w:rsidR="00F0147F" w:rsidRPr="00070A1E">
        <w:rPr>
          <w:rFonts w:ascii="Times New Roman" w:hAnsi="Times New Roman" w:cs="Times New Roman"/>
          <w:sz w:val="24"/>
        </w:rPr>
        <w:t>már nem képes a folyadék</w:t>
      </w:r>
      <w:r w:rsidR="00995CD7" w:rsidRPr="00070A1E">
        <w:rPr>
          <w:rFonts w:ascii="Times New Roman" w:hAnsi="Times New Roman" w:cs="Times New Roman"/>
          <w:sz w:val="24"/>
        </w:rPr>
        <w:t>felszín görbületét tovább növelni a szélesedő pórusban</w:t>
      </w:r>
      <w:r w:rsidR="00F0147F" w:rsidRPr="00070A1E">
        <w:rPr>
          <w:rFonts w:ascii="Times New Roman" w:hAnsi="Times New Roman" w:cs="Times New Roman"/>
          <w:sz w:val="24"/>
        </w:rPr>
        <w:t xml:space="preserve">, ezért a pórus hirtelen kiürül, míg újra keskeny szakaszba nem ér a víz. Feltöltődésénél is hasonló tapasztalható. </w:t>
      </w:r>
      <w:proofErr w:type="gramStart"/>
      <w:r w:rsidR="00F0147F" w:rsidRPr="00070A1E">
        <w:rPr>
          <w:rFonts w:ascii="Times New Roman" w:hAnsi="Times New Roman" w:cs="Times New Roman"/>
          <w:sz w:val="24"/>
        </w:rPr>
        <w:t xml:space="preserve">Ahogy </w:t>
      </w:r>
      <w:r w:rsidR="00995CD7" w:rsidRPr="00070A1E">
        <w:rPr>
          <w:rFonts w:ascii="Times New Roman" w:hAnsi="Times New Roman" w:cs="Times New Roman"/>
          <w:sz w:val="24"/>
        </w:rPr>
        <w:t>csökken a görbülete a vízfelszínnek feltöltődés közben</w:t>
      </w:r>
      <w:r w:rsidR="000B0D13" w:rsidRPr="00070A1E">
        <w:rPr>
          <w:rFonts w:ascii="Times New Roman" w:hAnsi="Times New Roman" w:cs="Times New Roman"/>
          <w:sz w:val="24"/>
        </w:rPr>
        <w:t>,</w:t>
      </w:r>
      <w:r w:rsidR="00995CD7" w:rsidRPr="00070A1E">
        <w:rPr>
          <w:rFonts w:ascii="Times New Roman" w:hAnsi="Times New Roman" w:cs="Times New Roman"/>
          <w:sz w:val="24"/>
        </w:rPr>
        <w:t xml:space="preserve"> a pórus testének legszélesebb részét követően nem tudja tovább csökkenteni a görbületet, melynek hatására hirtelen feltöltődik a pórus, amíg újra szélesedő részt nem ér el.</w:t>
      </w:r>
      <w:proofErr w:type="gramEnd"/>
      <w:r w:rsidR="001E0539" w:rsidRPr="00070A1E">
        <w:rPr>
          <w:rFonts w:ascii="Times New Roman" w:hAnsi="Times New Roman" w:cs="Times New Roman"/>
          <w:sz w:val="24"/>
        </w:rPr>
        <w:fldChar w:fldCharType="begin" w:fldLock="1"/>
      </w:r>
      <w:r w:rsidR="005A166B" w:rsidRPr="00070A1E">
        <w:rPr>
          <w:rFonts w:ascii="Times New Roman"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001E0539" w:rsidRPr="00070A1E">
        <w:rPr>
          <w:rFonts w:ascii="Times New Roman" w:hAnsi="Times New Roman" w:cs="Times New Roman"/>
          <w:sz w:val="24"/>
        </w:rPr>
        <w:fldChar w:fldCharType="separate"/>
      </w:r>
      <w:r w:rsidR="002C1A14" w:rsidRPr="00070A1E">
        <w:rPr>
          <w:rFonts w:ascii="Times New Roman" w:hAnsi="Times New Roman" w:cs="Times New Roman"/>
          <w:noProof/>
          <w:sz w:val="24"/>
        </w:rPr>
        <w:t>[3]</w:t>
      </w:r>
      <w:r w:rsidR="001E0539" w:rsidRPr="00070A1E">
        <w:rPr>
          <w:rFonts w:ascii="Times New Roman" w:hAnsi="Times New Roman" w:cs="Times New Roman"/>
          <w:sz w:val="24"/>
        </w:rPr>
        <w:fldChar w:fldCharType="end"/>
      </w:r>
    </w:p>
    <w:p w:rsidR="00995CD7" w:rsidRPr="00070A1E" w:rsidRDefault="00995CD7" w:rsidP="00995CD7">
      <w:pPr>
        <w:keepNext/>
        <w:jc w:val="center"/>
        <w:rPr>
          <w:rFonts w:ascii="Times New Roman" w:hAnsi="Times New Roman" w:cs="Times New Roman"/>
        </w:rPr>
      </w:pPr>
      <w:r w:rsidRPr="00070A1E">
        <w:rPr>
          <w:rFonts w:ascii="Times New Roman" w:hAnsi="Times New Roman" w:cs="Times New Roman"/>
          <w:noProof/>
          <w:sz w:val="24"/>
          <w:lang w:eastAsia="hu-HU"/>
        </w:rPr>
        <w:drawing>
          <wp:inline distT="0" distB="0" distL="0" distR="0">
            <wp:extent cx="3077833" cy="3089940"/>
            <wp:effectExtent l="19050" t="0" r="8267" b="0"/>
            <wp:docPr id="3"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cstate="print"/>
                    <a:srcRect/>
                    <a:stretch>
                      <a:fillRect/>
                    </a:stretch>
                  </pic:blipFill>
                  <pic:spPr bwMode="auto">
                    <a:xfrm>
                      <a:off x="0" y="0"/>
                      <a:ext cx="3079417" cy="3091531"/>
                    </a:xfrm>
                    <a:prstGeom prst="rect">
                      <a:avLst/>
                    </a:prstGeom>
                    <a:noFill/>
                    <a:ln w="9525">
                      <a:noFill/>
                      <a:miter lim="800000"/>
                      <a:headEnd/>
                      <a:tailEnd/>
                    </a:ln>
                  </pic:spPr>
                </pic:pic>
              </a:graphicData>
            </a:graphic>
          </wp:inline>
        </w:drawing>
      </w:r>
    </w:p>
    <w:p w:rsidR="00995CD7" w:rsidRPr="00677810" w:rsidRDefault="001E0539" w:rsidP="00677810">
      <w:pPr>
        <w:pStyle w:val="Kpalrs"/>
        <w:ind w:firstLine="708"/>
        <w:jc w:val="center"/>
        <w:rPr>
          <w:rFonts w:ascii="Times New Roman" w:hAnsi="Times New Roman" w:cs="Times New Roman"/>
          <w:color w:val="auto"/>
          <w:sz w:val="22"/>
        </w:rPr>
      </w:pPr>
      <w:r w:rsidRPr="00677810">
        <w:rPr>
          <w:rFonts w:ascii="Times New Roman" w:hAnsi="Times New Roman" w:cs="Times New Roman"/>
          <w:color w:val="auto"/>
          <w:sz w:val="22"/>
        </w:rPr>
        <w:fldChar w:fldCharType="begin"/>
      </w:r>
      <w:r w:rsidR="00995CD7" w:rsidRPr="00677810">
        <w:rPr>
          <w:rFonts w:ascii="Times New Roman" w:hAnsi="Times New Roman" w:cs="Times New Roman"/>
          <w:color w:val="auto"/>
          <w:sz w:val="22"/>
        </w:rPr>
        <w:instrText xml:space="preserve"> SEQ ábra \* ARABIC </w:instrText>
      </w:r>
      <w:r w:rsidRPr="00677810">
        <w:rPr>
          <w:rFonts w:ascii="Times New Roman" w:hAnsi="Times New Roman" w:cs="Times New Roman"/>
          <w:color w:val="auto"/>
          <w:sz w:val="22"/>
        </w:rPr>
        <w:fldChar w:fldCharType="separate"/>
      </w:r>
      <w:proofErr w:type="gramStart"/>
      <w:r w:rsidR="00995CD7" w:rsidRPr="00677810">
        <w:rPr>
          <w:rFonts w:ascii="Times New Roman" w:hAnsi="Times New Roman" w:cs="Times New Roman"/>
          <w:color w:val="auto"/>
          <w:sz w:val="22"/>
        </w:rPr>
        <w:t>5</w:t>
      </w:r>
      <w:r w:rsidRPr="00677810">
        <w:rPr>
          <w:rFonts w:ascii="Times New Roman" w:hAnsi="Times New Roman" w:cs="Times New Roman"/>
          <w:color w:val="auto"/>
          <w:sz w:val="22"/>
        </w:rPr>
        <w:fldChar w:fldCharType="end"/>
      </w:r>
      <w:r w:rsidR="00995CD7" w:rsidRPr="00677810">
        <w:rPr>
          <w:rFonts w:ascii="Times New Roman" w:hAnsi="Times New Roman" w:cs="Times New Roman"/>
          <w:color w:val="auto"/>
          <w:sz w:val="22"/>
        </w:rPr>
        <w:t xml:space="preserve">. ábra: A </w:t>
      </w:r>
      <w:proofErr w:type="spellStart"/>
      <w:r w:rsidR="00995CD7" w:rsidRPr="00677810">
        <w:rPr>
          <w:rFonts w:ascii="Times New Roman" w:hAnsi="Times New Roman" w:cs="Times New Roman"/>
          <w:color w:val="auto"/>
          <w:sz w:val="22"/>
        </w:rPr>
        <w:t>Haines</w:t>
      </w:r>
      <w:proofErr w:type="spellEnd"/>
      <w:r w:rsidR="00995CD7" w:rsidRPr="00677810">
        <w:rPr>
          <w:rFonts w:ascii="Times New Roman" w:hAnsi="Times New Roman" w:cs="Times New Roman"/>
          <w:color w:val="auto"/>
          <w:sz w:val="22"/>
        </w:rPr>
        <w:t xml:space="preserve"> ugrás jelensége</w:t>
      </w:r>
      <w:proofErr w:type="gramEnd"/>
      <w:r w:rsidRPr="00677810">
        <w:rPr>
          <w:rFonts w:ascii="Times New Roman" w:hAnsi="Times New Roman" w:cs="Times New Roman"/>
          <w:color w:val="auto"/>
          <w:sz w:val="22"/>
        </w:rPr>
        <w:fldChar w:fldCharType="begin" w:fldLock="1"/>
      </w:r>
      <w:r w:rsidR="006E4204" w:rsidRPr="00677810">
        <w:rPr>
          <w:rFonts w:ascii="Times New Roman" w:hAnsi="Times New Roman" w:cs="Times New Roman"/>
          <w:color w:val="auto"/>
          <w:sz w:val="22"/>
        </w:rPr>
        <w:instrText>ADDIN CSL_CITATION {"citationItems":[{"id":"ITEM-1","itemData":{"DOI":"10.1063/1.1722370","ISSN":"00218979","abstract":"From the assumption that the microscopic behavior of the liquid in an unsaturated porous medium is controlled by the physical laws of surface tension and viscous flow, differential equations governing the macroscopic flow in such a medium are deduced. No special pore-shape assumptions are required, but one topological approximation is needed; i.e., that neither isolated drops nor isolated bubbles occur. Several nonessential simplifying assumptions are used; i.e., that the macroscopic properties of the medium, the character of the liquid, and the pressure of the gas are independent of position, time, and direction. The macroscopic equations are obtained in a fully reduced form, permitting comparison between two media - or between two flow systems - that differ only by scaling factors. A novel feature of this calculation is its prediction that the liquid-transmission and liquid-capacity properties of an unsaturated medium will exhibit hysteresis in their dependences upon the liquid-gas pressure differential, p. The properties of the medium depend upon the pressure history but are invariant to monotonic time-scale distortions of that history. Such time-invariant functionals have been termed by the authors \"hysteresis functions,\" symbolized by the subscript, H, e.g. F H(p). Although methods for measuring and describing the characteristics of specific \"hysteresis functions\" have not yet been developed, the general validity of this analysis can be studied experimentally by testing predictions that are contained in the reduced variables.","author":[{"dropping-particle":"","family":"Miller","given":"E. E.","non-dropping-particle":"","parse-names":false,"suffix":""},{"dropping-particle":"","family":"Miller","given":"R. D.","non-dropping-particle":"","parse-names":false,"suffix":""}],"container-title":"Journal of Applied Physics","id":"ITEM-1","issue":"4","issued":{"date-parts":[["1956"]]},"page":"324-332","title":"Physical theory for capillary flow phenomena","type":"article-journal","volume":"27"},"uris":["http://www.mendeley.com/documents/?uuid=04f3d0d9-1ff9-49d5-8085-f0f8028d0669"]}],"mendeley":{"formattedCitation":"[13]","plainTextFormattedCitation":"[13]","previouslyFormattedCitation":"[13]"},"properties":{"noteIndex":0},"schema":"https://github.com/citation-style-language/schema/raw/master/csl-citation.json"}</w:instrText>
      </w:r>
      <w:r w:rsidRPr="00677810">
        <w:rPr>
          <w:rFonts w:ascii="Times New Roman" w:hAnsi="Times New Roman" w:cs="Times New Roman"/>
          <w:color w:val="auto"/>
          <w:sz w:val="22"/>
        </w:rPr>
        <w:fldChar w:fldCharType="separate"/>
      </w:r>
      <w:r w:rsidR="007F2EB9" w:rsidRPr="00677810">
        <w:rPr>
          <w:rFonts w:ascii="Times New Roman" w:hAnsi="Times New Roman" w:cs="Times New Roman"/>
          <w:noProof/>
          <w:color w:val="auto"/>
          <w:sz w:val="22"/>
        </w:rPr>
        <w:t>[13]</w:t>
      </w:r>
      <w:r w:rsidRPr="00677810">
        <w:rPr>
          <w:rFonts w:ascii="Times New Roman" w:hAnsi="Times New Roman" w:cs="Times New Roman"/>
          <w:color w:val="auto"/>
          <w:sz w:val="22"/>
        </w:rPr>
        <w:fldChar w:fldCharType="end"/>
      </w:r>
    </w:p>
    <w:p w:rsidR="004A3830" w:rsidRPr="00070A1E" w:rsidRDefault="00E539F7" w:rsidP="004A3830">
      <w:pPr>
        <w:jc w:val="both"/>
        <w:rPr>
          <w:rFonts w:ascii="Times New Roman" w:hAnsi="Times New Roman" w:cs="Times New Roman"/>
          <w:sz w:val="24"/>
        </w:rPr>
      </w:pPr>
      <w:r w:rsidRPr="00070A1E">
        <w:rPr>
          <w:rFonts w:ascii="Times New Roman" w:hAnsi="Times New Roman" w:cs="Times New Roman"/>
          <w:sz w:val="28"/>
        </w:rPr>
        <w:tab/>
      </w:r>
      <w:r w:rsidR="00234373" w:rsidRPr="00070A1E">
        <w:rPr>
          <w:rFonts w:ascii="Times New Roman" w:hAnsi="Times New Roman" w:cs="Times New Roman"/>
          <w:sz w:val="24"/>
        </w:rPr>
        <w:t>E szerint</w:t>
      </w:r>
      <w:r w:rsidRPr="00070A1E">
        <w:rPr>
          <w:rFonts w:ascii="Times New Roman" w:hAnsi="Times New Roman" w:cs="Times New Roman"/>
          <w:sz w:val="24"/>
        </w:rPr>
        <w:t xml:space="preserve"> a személet szerint az </w:t>
      </w:r>
      <w:r w:rsidR="00234373" w:rsidRPr="00070A1E">
        <w:rPr>
          <w:rFonts w:ascii="Times New Roman" w:hAnsi="Times New Roman" w:cs="Times New Roman"/>
          <w:sz w:val="24"/>
        </w:rPr>
        <w:t xml:space="preserve">számít </w:t>
      </w:r>
      <w:r w:rsidRPr="00070A1E">
        <w:rPr>
          <w:rFonts w:ascii="Times New Roman" w:hAnsi="Times New Roman" w:cs="Times New Roman"/>
          <w:sz w:val="24"/>
        </w:rPr>
        <w:t xml:space="preserve">egy pórusnak, ami ezzel a </w:t>
      </w:r>
      <w:proofErr w:type="spellStart"/>
      <w:r w:rsidRPr="00070A1E">
        <w:rPr>
          <w:rFonts w:ascii="Times New Roman" w:hAnsi="Times New Roman" w:cs="Times New Roman"/>
          <w:sz w:val="24"/>
        </w:rPr>
        <w:t>mechnaizmussal</w:t>
      </w:r>
      <w:proofErr w:type="spellEnd"/>
      <w:r w:rsidRPr="00070A1E">
        <w:rPr>
          <w:rFonts w:ascii="Times New Roman" w:hAnsi="Times New Roman" w:cs="Times New Roman"/>
          <w:sz w:val="24"/>
        </w:rPr>
        <w:t xml:space="preserve"> ürül és töltődik fel. Hozzá kell tenni, hogy nem minden pórus viselkedik így (például repedések), és ezeket is pórusnak kell tekinteni. A pórusméret a test vagy </w:t>
      </w:r>
      <w:r w:rsidR="00234373" w:rsidRPr="00070A1E">
        <w:rPr>
          <w:rFonts w:ascii="Times New Roman" w:hAnsi="Times New Roman" w:cs="Times New Roman"/>
          <w:sz w:val="24"/>
        </w:rPr>
        <w:t>a nyak</w:t>
      </w:r>
      <w:r w:rsidRPr="00070A1E">
        <w:rPr>
          <w:rFonts w:ascii="Times New Roman" w:hAnsi="Times New Roman" w:cs="Times New Roman"/>
          <w:sz w:val="24"/>
        </w:rPr>
        <w:t xml:space="preserve"> szélességével </w:t>
      </w:r>
      <w:r w:rsidR="000B0D13" w:rsidRPr="00070A1E">
        <w:rPr>
          <w:rFonts w:ascii="Times New Roman" w:hAnsi="Times New Roman" w:cs="Times New Roman"/>
          <w:sz w:val="24"/>
        </w:rPr>
        <w:t>írják le általában.</w:t>
      </w:r>
    </w:p>
    <w:p w:rsidR="00E539F7" w:rsidRPr="00070A1E" w:rsidRDefault="00E539F7" w:rsidP="00234373">
      <w:pPr>
        <w:rPr>
          <w:rFonts w:ascii="Times New Roman" w:hAnsi="Times New Roman" w:cs="Times New Roman"/>
          <w:b/>
          <w:sz w:val="24"/>
          <w:u w:val="single"/>
        </w:rPr>
      </w:pPr>
      <w:r w:rsidRPr="00070A1E">
        <w:rPr>
          <w:rFonts w:ascii="Times New Roman" w:hAnsi="Times New Roman" w:cs="Times New Roman"/>
          <w:b/>
          <w:sz w:val="24"/>
          <w:u w:val="single"/>
        </w:rPr>
        <w:lastRenderedPageBreak/>
        <w:t>A pórusméret eloszlás meghatározása:</w:t>
      </w:r>
    </w:p>
    <w:p w:rsidR="00E539F7" w:rsidRPr="002F2B05" w:rsidRDefault="00E539F7" w:rsidP="00E539F7">
      <w:pPr>
        <w:pStyle w:val="Listaszerbekezds"/>
        <w:numPr>
          <w:ilvl w:val="0"/>
          <w:numId w:val="5"/>
        </w:numPr>
        <w:jc w:val="both"/>
        <w:rPr>
          <w:rFonts w:ascii="Times New Roman" w:hAnsi="Times New Roman" w:cs="Times New Roman"/>
          <w:b/>
          <w:sz w:val="24"/>
        </w:rPr>
      </w:pPr>
      <w:r w:rsidRPr="002F2B05">
        <w:rPr>
          <w:rFonts w:ascii="Times New Roman" w:hAnsi="Times New Roman" w:cs="Times New Roman"/>
          <w:b/>
          <w:sz w:val="24"/>
        </w:rPr>
        <w:t>Képalapú módszerek</w:t>
      </w:r>
    </w:p>
    <w:p w:rsidR="00E539F7" w:rsidRPr="00070A1E" w:rsidRDefault="00E539F7" w:rsidP="000B0D13">
      <w:pPr>
        <w:ind w:firstLine="360"/>
        <w:jc w:val="both"/>
        <w:rPr>
          <w:rFonts w:ascii="Times New Roman" w:hAnsi="Times New Roman" w:cs="Times New Roman"/>
          <w:sz w:val="24"/>
        </w:rPr>
      </w:pPr>
      <w:r w:rsidRPr="00070A1E">
        <w:rPr>
          <w:rFonts w:ascii="Times New Roman" w:hAnsi="Times New Roman" w:cs="Times New Roman"/>
          <w:sz w:val="24"/>
        </w:rPr>
        <w:t xml:space="preserve">Tomográfiás, </w:t>
      </w:r>
      <w:proofErr w:type="spellStart"/>
      <w:r w:rsidRPr="00070A1E">
        <w:rPr>
          <w:rFonts w:ascii="Times New Roman" w:hAnsi="Times New Roman" w:cs="Times New Roman"/>
          <w:sz w:val="24"/>
        </w:rPr>
        <w:t>mikrográfiás</w:t>
      </w:r>
      <w:proofErr w:type="spellEnd"/>
      <w:r w:rsidRPr="00070A1E">
        <w:rPr>
          <w:rFonts w:ascii="Times New Roman" w:hAnsi="Times New Roman" w:cs="Times New Roman"/>
          <w:sz w:val="24"/>
        </w:rPr>
        <w:t xml:space="preserve"> eljárásokkal a minta egyes </w:t>
      </w:r>
      <w:r w:rsidR="00234373" w:rsidRPr="00070A1E">
        <w:rPr>
          <w:rFonts w:ascii="Times New Roman" w:hAnsi="Times New Roman" w:cs="Times New Roman"/>
          <w:sz w:val="24"/>
        </w:rPr>
        <w:t>szeletein,</w:t>
      </w:r>
      <w:r w:rsidRPr="00070A1E">
        <w:rPr>
          <w:rFonts w:ascii="Times New Roman" w:hAnsi="Times New Roman" w:cs="Times New Roman"/>
          <w:sz w:val="24"/>
        </w:rPr>
        <w:t xml:space="preserve"> direkt módon </w:t>
      </w:r>
      <w:r w:rsidR="00234373" w:rsidRPr="00070A1E">
        <w:rPr>
          <w:rFonts w:ascii="Times New Roman" w:hAnsi="Times New Roman" w:cs="Times New Roman"/>
          <w:sz w:val="24"/>
        </w:rPr>
        <w:t>megmérhető a</w:t>
      </w:r>
      <w:r w:rsidRPr="00070A1E">
        <w:rPr>
          <w:rFonts w:ascii="Times New Roman" w:hAnsi="Times New Roman" w:cs="Times New Roman"/>
          <w:sz w:val="24"/>
        </w:rPr>
        <w:t xml:space="preserve"> pórusméret. Ennek hátránya, hogy nem tudható, hogy a pórus melyik részén mérünk. Jellemzően ezért az így meghatározott méretek kisebbek, mint a valós, hiszen nem valószínű, hogy a legszélesebb pontján vizsgáljuk a pórust, ráadásul lassú és sok munkát igényel az eljárás.</w:t>
      </w:r>
      <w:r w:rsidR="000B0D13" w:rsidRPr="00070A1E">
        <w:rPr>
          <w:rFonts w:ascii="Times New Roman" w:hAnsi="Times New Roman" w:cs="Times New Roman"/>
          <w:sz w:val="24"/>
        </w:rPr>
        <w:t xml:space="preserve"> </w:t>
      </w:r>
      <w:proofErr w:type="gramStart"/>
      <w:r w:rsidR="000B0D13" w:rsidRPr="00070A1E">
        <w:rPr>
          <w:rFonts w:ascii="Times New Roman" w:hAnsi="Times New Roman" w:cs="Times New Roman"/>
          <w:sz w:val="24"/>
        </w:rPr>
        <w:t>A megoldást matematikai korrekciós technikák jelentik, melyek felhasználásával valamivel pontosabban meg lehet határozni a pórusméretet.</w:t>
      </w:r>
      <w:proofErr w:type="gramEnd"/>
      <w:r w:rsidR="001E0539" w:rsidRPr="00070A1E">
        <w:rPr>
          <w:rFonts w:ascii="Times New Roman" w:hAnsi="Times New Roman" w:cs="Times New Roman"/>
          <w:sz w:val="24"/>
        </w:rPr>
        <w:fldChar w:fldCharType="begin" w:fldLock="1"/>
      </w:r>
      <w:r w:rsidR="005A166B" w:rsidRPr="00070A1E">
        <w:rPr>
          <w:rFonts w:ascii="Times New Roman"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001E0539" w:rsidRPr="00070A1E">
        <w:rPr>
          <w:rFonts w:ascii="Times New Roman" w:hAnsi="Times New Roman" w:cs="Times New Roman"/>
          <w:sz w:val="24"/>
        </w:rPr>
        <w:fldChar w:fldCharType="separate"/>
      </w:r>
      <w:r w:rsidR="002C1A14" w:rsidRPr="00070A1E">
        <w:rPr>
          <w:rFonts w:ascii="Times New Roman" w:hAnsi="Times New Roman" w:cs="Times New Roman"/>
          <w:noProof/>
          <w:sz w:val="24"/>
        </w:rPr>
        <w:t>[3]</w:t>
      </w:r>
      <w:r w:rsidR="001E0539" w:rsidRPr="00070A1E">
        <w:rPr>
          <w:rFonts w:ascii="Times New Roman" w:hAnsi="Times New Roman" w:cs="Times New Roman"/>
          <w:sz w:val="24"/>
        </w:rPr>
        <w:fldChar w:fldCharType="end"/>
      </w:r>
    </w:p>
    <w:p w:rsidR="00E539F7" w:rsidRPr="002F2B05" w:rsidRDefault="00E539F7" w:rsidP="00E539F7">
      <w:pPr>
        <w:pStyle w:val="Listaszerbekezds"/>
        <w:numPr>
          <w:ilvl w:val="0"/>
          <w:numId w:val="5"/>
        </w:numPr>
        <w:jc w:val="both"/>
        <w:rPr>
          <w:rFonts w:ascii="Times New Roman" w:hAnsi="Times New Roman" w:cs="Times New Roman"/>
          <w:b/>
          <w:sz w:val="24"/>
        </w:rPr>
      </w:pPr>
      <w:r w:rsidRPr="002F2B05">
        <w:rPr>
          <w:rFonts w:ascii="Times New Roman" w:hAnsi="Times New Roman" w:cs="Times New Roman"/>
          <w:b/>
          <w:sz w:val="24"/>
        </w:rPr>
        <w:t>Impregnálásos módszerek</w:t>
      </w:r>
    </w:p>
    <w:p w:rsidR="00E539F7" w:rsidRPr="00070A1E" w:rsidRDefault="00E539F7" w:rsidP="000B0D13">
      <w:pPr>
        <w:ind w:firstLine="360"/>
        <w:jc w:val="both"/>
        <w:rPr>
          <w:rFonts w:ascii="Times New Roman" w:hAnsi="Times New Roman" w:cs="Times New Roman"/>
          <w:sz w:val="24"/>
        </w:rPr>
      </w:pPr>
      <w:r w:rsidRPr="00070A1E">
        <w:rPr>
          <w:rFonts w:ascii="Times New Roman" w:hAnsi="Times New Roman" w:cs="Times New Roman"/>
          <w:sz w:val="24"/>
        </w:rPr>
        <w:t xml:space="preserve">A pórusokat kitöltik megszilárdulni képes anyaggal (pl. gyanta), majd a mintát leválasztják róla és a gyantaszemcséket vizsgálják. </w:t>
      </w:r>
      <w:proofErr w:type="gramStart"/>
      <w:r w:rsidRPr="00070A1E">
        <w:rPr>
          <w:rFonts w:ascii="Times New Roman" w:hAnsi="Times New Roman" w:cs="Times New Roman"/>
          <w:sz w:val="24"/>
        </w:rPr>
        <w:t xml:space="preserve">Hátránya, hogy rendkívül lassú és nehézkes módszer, a mintát pedig károsíthatja, így újra </w:t>
      </w:r>
      <w:r w:rsidR="000B0D13" w:rsidRPr="00070A1E">
        <w:rPr>
          <w:rFonts w:ascii="Times New Roman" w:hAnsi="Times New Roman" w:cs="Times New Roman"/>
          <w:sz w:val="24"/>
        </w:rPr>
        <w:t>csak korlátozottan mérhető</w:t>
      </w:r>
      <w:r w:rsidRPr="00070A1E">
        <w:rPr>
          <w:rFonts w:ascii="Times New Roman" w:hAnsi="Times New Roman" w:cs="Times New Roman"/>
          <w:sz w:val="24"/>
        </w:rPr>
        <w:t>.</w:t>
      </w:r>
      <w:proofErr w:type="gramEnd"/>
      <w:r w:rsidR="001E0539" w:rsidRPr="00070A1E">
        <w:rPr>
          <w:rFonts w:ascii="Times New Roman" w:hAnsi="Times New Roman" w:cs="Times New Roman"/>
          <w:sz w:val="24"/>
        </w:rPr>
        <w:fldChar w:fldCharType="begin" w:fldLock="1"/>
      </w:r>
      <w:r w:rsidR="005A166B" w:rsidRPr="00070A1E">
        <w:rPr>
          <w:rFonts w:ascii="Times New Roman"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001E0539" w:rsidRPr="00070A1E">
        <w:rPr>
          <w:rFonts w:ascii="Times New Roman" w:hAnsi="Times New Roman" w:cs="Times New Roman"/>
          <w:sz w:val="24"/>
        </w:rPr>
        <w:fldChar w:fldCharType="separate"/>
      </w:r>
      <w:r w:rsidR="002C1A14" w:rsidRPr="00070A1E">
        <w:rPr>
          <w:rFonts w:ascii="Times New Roman" w:hAnsi="Times New Roman" w:cs="Times New Roman"/>
          <w:noProof/>
          <w:sz w:val="24"/>
        </w:rPr>
        <w:t>[3]</w:t>
      </w:r>
      <w:r w:rsidR="001E0539" w:rsidRPr="00070A1E">
        <w:rPr>
          <w:rFonts w:ascii="Times New Roman" w:hAnsi="Times New Roman" w:cs="Times New Roman"/>
          <w:sz w:val="24"/>
        </w:rPr>
        <w:fldChar w:fldCharType="end"/>
      </w:r>
    </w:p>
    <w:p w:rsidR="00E539F7" w:rsidRPr="002F2B05" w:rsidRDefault="00051E01" w:rsidP="00E539F7">
      <w:pPr>
        <w:pStyle w:val="Listaszerbekezds"/>
        <w:numPr>
          <w:ilvl w:val="0"/>
          <w:numId w:val="5"/>
        </w:numPr>
        <w:jc w:val="both"/>
        <w:rPr>
          <w:rFonts w:ascii="Times New Roman" w:hAnsi="Times New Roman" w:cs="Times New Roman"/>
          <w:b/>
          <w:sz w:val="24"/>
        </w:rPr>
      </w:pPr>
      <w:r w:rsidRPr="002F2B05">
        <w:rPr>
          <w:rFonts w:ascii="Times New Roman" w:hAnsi="Times New Roman" w:cs="Times New Roman"/>
          <w:b/>
          <w:sz w:val="24"/>
        </w:rPr>
        <w:t>Víz visszatartási görbe alapján</w:t>
      </w:r>
    </w:p>
    <w:p w:rsidR="00051E01" w:rsidRPr="00070A1E" w:rsidRDefault="00051E01" w:rsidP="00051E01">
      <w:pPr>
        <w:jc w:val="both"/>
        <w:rPr>
          <w:rFonts w:ascii="Times New Roman" w:hAnsi="Times New Roman" w:cs="Times New Roman"/>
          <w:sz w:val="24"/>
        </w:rPr>
      </w:pPr>
      <w:r w:rsidRPr="00070A1E">
        <w:rPr>
          <w:rFonts w:ascii="Times New Roman" w:hAnsi="Times New Roman" w:cs="Times New Roman"/>
          <w:sz w:val="24"/>
        </w:rPr>
        <w:t xml:space="preserve">A víztartó képesség az egyik igen fontos jellemzője a talajnak, erről bővebben a </w:t>
      </w:r>
      <w:r w:rsidR="00841F55" w:rsidRPr="00070A1E">
        <w:rPr>
          <w:rFonts w:ascii="Times New Roman" w:hAnsi="Times New Roman" w:cs="Times New Roman"/>
          <w:sz w:val="24"/>
        </w:rPr>
        <w:t>4.</w:t>
      </w:r>
      <w:r w:rsidRPr="00070A1E">
        <w:rPr>
          <w:rFonts w:ascii="Times New Roman" w:hAnsi="Times New Roman" w:cs="Times New Roman"/>
          <w:sz w:val="24"/>
        </w:rPr>
        <w:t xml:space="preserve"> fejezetben írok. A mérés során vízzel telített mintára különböző erősségű vákuumot applikálnak</w:t>
      </w:r>
      <w:r w:rsidR="000B0D13" w:rsidRPr="00070A1E">
        <w:rPr>
          <w:rFonts w:ascii="Times New Roman" w:hAnsi="Times New Roman" w:cs="Times New Roman"/>
          <w:sz w:val="24"/>
        </w:rPr>
        <w:t>, és mérik a tömegét a mintának, ezáltal követve annak kiürülését</w:t>
      </w:r>
      <w:r w:rsidRPr="00070A1E">
        <w:rPr>
          <w:rFonts w:ascii="Times New Roman" w:hAnsi="Times New Roman" w:cs="Times New Roman"/>
          <w:sz w:val="24"/>
        </w:rPr>
        <w:t>. A nagyobb pórusok légköri nyomás körül ürülnek ki, míg a kisebbek csak nagyobb vákuumnál. A pórusméret meghatározható a kiürüléséhez szükséges vákuum segítségével.</w:t>
      </w:r>
    </w:p>
    <w:p w:rsidR="00051E01" w:rsidRPr="00070A1E" w:rsidRDefault="00051E01" w:rsidP="00051E01">
      <w:pPr>
        <w:jc w:val="both"/>
        <w:rPr>
          <w:rFonts w:ascii="Times New Roman" w:hAnsi="Times New Roman" w:cs="Times New Roman"/>
          <w:sz w:val="24"/>
        </w:rPr>
      </w:pPr>
      <m:oMathPara>
        <m:oMath>
          <m:r>
            <w:rPr>
              <w:rFonts w:ascii="Cambria Math" w:hAnsi="Cambria Math" w:cs="Times New Roman"/>
              <w:sz w:val="24"/>
            </w:rPr>
            <m:t>r</m:t>
          </m:r>
          <m:r>
            <w:rPr>
              <w:rFonts w:ascii="Cambria Math" w:hAnsi="Times New Roman" w:cs="Times New Roman"/>
              <w:sz w:val="24"/>
            </w:rPr>
            <m:t>=</m:t>
          </m:r>
          <m:f>
            <m:fPr>
              <m:ctrlPr>
                <w:rPr>
                  <w:rFonts w:ascii="Cambria Math" w:hAnsi="Times New Roman" w:cs="Times New Roman"/>
                  <w:i/>
                  <w:sz w:val="24"/>
                </w:rPr>
              </m:ctrlPr>
            </m:fPr>
            <m:num>
              <m:r>
                <w:rPr>
                  <w:rFonts w:ascii="Times New Roman" w:hAnsi="Times New Roman" w:cs="Times New Roman"/>
                  <w:sz w:val="24"/>
                </w:rPr>
                <m:t>-</m:t>
              </m:r>
              <m:r>
                <w:rPr>
                  <w:rFonts w:ascii="Cambria Math" w:hAnsi="Times New Roman" w:cs="Times New Roman"/>
                  <w:sz w:val="24"/>
                </w:rPr>
                <m:t>2</m:t>
              </m:r>
              <m:r>
                <w:rPr>
                  <w:rFonts w:ascii="Cambria Math" w:hAnsi="Cambria Math" w:cs="Times New Roman"/>
                  <w:sz w:val="24"/>
                </w:rPr>
                <m:t>σcosα</m:t>
              </m:r>
            </m:num>
            <m:den>
              <m:r>
                <w:rPr>
                  <w:rFonts w:ascii="Cambria Math" w:hAnsi="Cambria Math" w:cs="Times New Roman"/>
                  <w:sz w:val="24"/>
                </w:rPr>
                <m:t>P</m:t>
              </m:r>
            </m:den>
          </m:f>
        </m:oMath>
      </m:oMathPara>
    </w:p>
    <w:p w:rsidR="004A3830" w:rsidRPr="00070A1E" w:rsidRDefault="00051E01" w:rsidP="00F718CE">
      <w:pPr>
        <w:jc w:val="both"/>
        <w:rPr>
          <w:rFonts w:ascii="Times New Roman" w:eastAsiaTheme="minorEastAsia" w:hAnsi="Times New Roman" w:cs="Times New Roman"/>
          <w:sz w:val="24"/>
        </w:rPr>
      </w:pPr>
      <w:r w:rsidRPr="00070A1E">
        <w:rPr>
          <w:rFonts w:ascii="Times New Roman" w:hAnsi="Times New Roman" w:cs="Times New Roman"/>
          <w:sz w:val="24"/>
        </w:rPr>
        <w:t xml:space="preserve">Ahol </w:t>
      </w:r>
      <m:oMath>
        <m:r>
          <w:rPr>
            <w:rFonts w:ascii="Cambria Math" w:hAnsi="Cambria Math" w:cs="Times New Roman"/>
            <w:sz w:val="24"/>
          </w:rPr>
          <m:t>σ</m:t>
        </m:r>
      </m:oMath>
      <w:r w:rsidRPr="00070A1E">
        <w:rPr>
          <w:rFonts w:ascii="Times New Roman" w:eastAsiaTheme="minorEastAsia" w:hAnsi="Times New Roman" w:cs="Times New Roman"/>
          <w:sz w:val="24"/>
        </w:rPr>
        <w:t xml:space="preserve"> a felületi feszültség, </w:t>
      </w:r>
      <m:oMath>
        <m:r>
          <w:rPr>
            <w:rFonts w:ascii="Cambria Math" w:hAnsi="Cambria Math" w:cs="Times New Roman"/>
            <w:sz w:val="24"/>
          </w:rPr>
          <m:t>α</m:t>
        </m:r>
      </m:oMath>
      <w:r w:rsidRPr="00070A1E">
        <w:rPr>
          <w:rFonts w:ascii="Times New Roman" w:eastAsiaTheme="minorEastAsia" w:hAnsi="Times New Roman" w:cs="Times New Roman"/>
          <w:sz w:val="24"/>
        </w:rPr>
        <w:t xml:space="preserve"> pedig a peremszög. A </w:t>
      </w:r>
      <w:r w:rsidR="00F718CE" w:rsidRPr="00070A1E">
        <w:rPr>
          <w:rFonts w:ascii="Times New Roman" w:eastAsiaTheme="minorEastAsia" w:hAnsi="Times New Roman" w:cs="Times New Roman"/>
          <w:sz w:val="24"/>
        </w:rPr>
        <w:t>térfogati</w:t>
      </w:r>
      <w:r w:rsidRPr="00070A1E">
        <w:rPr>
          <w:rFonts w:ascii="Times New Roman" w:eastAsiaTheme="minorEastAsia" w:hAnsi="Times New Roman" w:cs="Times New Roman"/>
          <w:sz w:val="24"/>
        </w:rPr>
        <w:t xml:space="preserve"> </w:t>
      </w:r>
      <w:r w:rsidR="00F718CE" w:rsidRPr="00070A1E">
        <w:rPr>
          <w:rFonts w:ascii="Times New Roman" w:eastAsiaTheme="minorEastAsia" w:hAnsi="Times New Roman" w:cs="Times New Roman"/>
          <w:sz w:val="24"/>
        </w:rPr>
        <w:t>nedvességtartalom</w:t>
      </w:r>
      <w:r w:rsidRPr="00070A1E">
        <w:rPr>
          <w:rFonts w:ascii="Times New Roman" w:eastAsiaTheme="minorEastAsia" w:hAnsi="Times New Roman" w:cs="Times New Roman"/>
          <w:sz w:val="24"/>
        </w:rPr>
        <w:t xml:space="preserve"> adatokat a nyomás függvényében veszik fel, majd átszámítják a nyomás értékeket pórusméretté</w:t>
      </w:r>
      <w:r w:rsidR="00F718CE" w:rsidRPr="00070A1E">
        <w:rPr>
          <w:rFonts w:ascii="Times New Roman" w:eastAsiaTheme="minorEastAsia" w:hAnsi="Times New Roman" w:cs="Times New Roman"/>
          <w:sz w:val="24"/>
        </w:rPr>
        <w:t xml:space="preserve">, ezzel kapva </w:t>
      </w:r>
      <w:proofErr w:type="gramStart"/>
      <w:r w:rsidR="00F718CE" w:rsidRPr="00070A1E">
        <w:rPr>
          <w:rFonts w:ascii="Times New Roman" w:eastAsiaTheme="minorEastAsia" w:hAnsi="Times New Roman" w:cs="Times New Roman"/>
          <w:sz w:val="24"/>
        </w:rPr>
        <w:t>a</w:t>
      </w:r>
      <w:proofErr w:type="gramEnd"/>
      <w:r w:rsidR="00F718CE" w:rsidRPr="00070A1E">
        <w:rPr>
          <w:rFonts w:ascii="Times New Roman" w:eastAsiaTheme="minorEastAsia" w:hAnsi="Times New Roman" w:cs="Times New Roman"/>
          <w:sz w:val="24"/>
        </w:rPr>
        <w:t xml:space="preserve"> integrális méreteloszlást, melynek deriválásával megkapjuk a differenciális méreteloszlás adatokat. </w:t>
      </w:r>
      <w:proofErr w:type="gramStart"/>
      <w:r w:rsidR="00F718CE" w:rsidRPr="00070A1E">
        <w:rPr>
          <w:rFonts w:ascii="Times New Roman" w:eastAsiaTheme="minorEastAsia" w:hAnsi="Times New Roman" w:cs="Times New Roman"/>
          <w:sz w:val="24"/>
        </w:rPr>
        <w:t>Az aktuális nedvességtartalom megfeleltethető a kitöltött pórusok térfogatának.</w:t>
      </w:r>
      <w:proofErr w:type="gramEnd"/>
      <w:r w:rsidR="001E0539" w:rsidRPr="00070A1E">
        <w:rPr>
          <w:rFonts w:ascii="Times New Roman" w:eastAsiaTheme="minorEastAsia" w:hAnsi="Times New Roman" w:cs="Times New Roman"/>
          <w:sz w:val="24"/>
        </w:rPr>
        <w:fldChar w:fldCharType="begin" w:fldLock="1"/>
      </w:r>
      <w:r w:rsidR="005A166B" w:rsidRPr="00070A1E">
        <w:rPr>
          <w:rFonts w:ascii="Times New Roman" w:eastAsiaTheme="minorEastAsia"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001E0539" w:rsidRPr="00070A1E">
        <w:rPr>
          <w:rFonts w:ascii="Times New Roman" w:eastAsiaTheme="minorEastAsia" w:hAnsi="Times New Roman" w:cs="Times New Roman"/>
          <w:sz w:val="24"/>
        </w:rPr>
        <w:fldChar w:fldCharType="separate"/>
      </w:r>
      <w:r w:rsidR="002C1A14" w:rsidRPr="00070A1E">
        <w:rPr>
          <w:rFonts w:ascii="Times New Roman" w:eastAsiaTheme="minorEastAsia" w:hAnsi="Times New Roman" w:cs="Times New Roman"/>
          <w:noProof/>
          <w:sz w:val="24"/>
        </w:rPr>
        <w:t>[3]</w:t>
      </w:r>
      <w:r w:rsidR="001E0539" w:rsidRPr="00070A1E">
        <w:rPr>
          <w:rFonts w:ascii="Times New Roman" w:eastAsiaTheme="minorEastAsia" w:hAnsi="Times New Roman" w:cs="Times New Roman"/>
          <w:sz w:val="24"/>
        </w:rPr>
        <w:fldChar w:fldCharType="end"/>
      </w:r>
    </w:p>
    <w:p w:rsidR="00051E01" w:rsidRPr="002F2B05" w:rsidRDefault="00051E01" w:rsidP="00051E01">
      <w:pPr>
        <w:pStyle w:val="Listaszerbekezds"/>
        <w:numPr>
          <w:ilvl w:val="0"/>
          <w:numId w:val="5"/>
        </w:numPr>
        <w:jc w:val="both"/>
        <w:rPr>
          <w:rFonts w:ascii="Times New Roman" w:hAnsi="Times New Roman" w:cs="Times New Roman"/>
          <w:b/>
          <w:sz w:val="24"/>
        </w:rPr>
      </w:pPr>
      <w:r w:rsidRPr="002F2B05">
        <w:rPr>
          <w:rFonts w:ascii="Times New Roman" w:hAnsi="Times New Roman" w:cs="Times New Roman"/>
          <w:b/>
          <w:sz w:val="24"/>
        </w:rPr>
        <w:t>Higanyporozimetria</w:t>
      </w:r>
    </w:p>
    <w:p w:rsidR="00F718CE" w:rsidRPr="00070A1E" w:rsidRDefault="00F718CE" w:rsidP="00F718CE">
      <w:pPr>
        <w:jc w:val="both"/>
        <w:rPr>
          <w:rFonts w:ascii="Times New Roman" w:hAnsi="Times New Roman" w:cs="Times New Roman"/>
          <w:sz w:val="24"/>
        </w:rPr>
      </w:pPr>
      <w:r w:rsidRPr="00070A1E">
        <w:rPr>
          <w:rFonts w:ascii="Times New Roman" w:hAnsi="Times New Roman" w:cs="Times New Roman"/>
          <w:sz w:val="24"/>
        </w:rPr>
        <w:t xml:space="preserve">A </w:t>
      </w:r>
      <w:r w:rsidR="00085058" w:rsidRPr="00070A1E">
        <w:rPr>
          <w:rFonts w:ascii="Times New Roman" w:hAnsi="Times New Roman" w:cs="Times New Roman"/>
          <w:sz w:val="24"/>
        </w:rPr>
        <w:t>víz</w:t>
      </w:r>
      <w:r w:rsidRPr="00070A1E">
        <w:rPr>
          <w:rFonts w:ascii="Times New Roman" w:hAnsi="Times New Roman" w:cs="Times New Roman"/>
          <w:sz w:val="24"/>
        </w:rPr>
        <w:t>visszatartáshoz hasonlóan higanyporozimetria is használható. Alapvetően nem térnek el egymástól, de más eredményeket adhatnak.</w:t>
      </w:r>
      <w:r w:rsidR="00085058" w:rsidRPr="00070A1E">
        <w:rPr>
          <w:rFonts w:ascii="Times New Roman" w:hAnsi="Times New Roman" w:cs="Times New Roman"/>
          <w:sz w:val="24"/>
        </w:rPr>
        <w:t xml:space="preserve"> Higanyporozimetria esetén nem a folyadék ürüléséhez szükséges vákuumot, hanem a higany pórusokba való behatolásához szükséges nyomást mérik.</w:t>
      </w:r>
      <w:r w:rsidRPr="00070A1E">
        <w:rPr>
          <w:rFonts w:ascii="Times New Roman" w:hAnsi="Times New Roman" w:cs="Times New Roman"/>
          <w:sz w:val="24"/>
        </w:rPr>
        <w:t xml:space="preserve"> </w:t>
      </w:r>
      <w:proofErr w:type="gramStart"/>
      <w:r w:rsidRPr="00070A1E">
        <w:rPr>
          <w:rFonts w:ascii="Times New Roman" w:hAnsi="Times New Roman" w:cs="Times New Roman"/>
          <w:sz w:val="24"/>
        </w:rPr>
        <w:t>Fontos tényező,</w:t>
      </w:r>
      <w:r w:rsidR="00FB0798" w:rsidRPr="00070A1E">
        <w:rPr>
          <w:rFonts w:ascii="Times New Roman" w:hAnsi="Times New Roman" w:cs="Times New Roman"/>
          <w:sz w:val="24"/>
        </w:rPr>
        <w:t xml:space="preserve"> </w:t>
      </w:r>
      <w:r w:rsidRPr="00070A1E">
        <w:rPr>
          <w:rFonts w:ascii="Times New Roman" w:hAnsi="Times New Roman" w:cs="Times New Roman"/>
          <w:sz w:val="24"/>
        </w:rPr>
        <w:t xml:space="preserve">hogy a duzzadó agyagásványok </w:t>
      </w:r>
      <w:r w:rsidR="00085058" w:rsidRPr="00070A1E">
        <w:rPr>
          <w:rFonts w:ascii="Times New Roman" w:hAnsi="Times New Roman" w:cs="Times New Roman"/>
          <w:sz w:val="24"/>
        </w:rPr>
        <w:t>szerkezetére</w:t>
      </w:r>
      <w:r w:rsidRPr="00070A1E">
        <w:rPr>
          <w:rFonts w:ascii="Times New Roman" w:hAnsi="Times New Roman" w:cs="Times New Roman"/>
          <w:sz w:val="24"/>
        </w:rPr>
        <w:t xml:space="preserve"> nincs hatással a </w:t>
      </w:r>
      <w:proofErr w:type="spellStart"/>
      <w:r w:rsidRPr="00070A1E">
        <w:rPr>
          <w:rFonts w:ascii="Times New Roman" w:hAnsi="Times New Roman" w:cs="Times New Roman"/>
          <w:sz w:val="24"/>
        </w:rPr>
        <w:t>higanyporozimetriás</w:t>
      </w:r>
      <w:proofErr w:type="spellEnd"/>
      <w:r w:rsidRPr="00070A1E">
        <w:rPr>
          <w:rFonts w:ascii="Times New Roman" w:hAnsi="Times New Roman" w:cs="Times New Roman"/>
          <w:sz w:val="24"/>
        </w:rPr>
        <w:t xml:space="preserve"> mérésre, míg a víz esetében jelentősen </w:t>
      </w:r>
      <w:r w:rsidR="00085058" w:rsidRPr="00070A1E">
        <w:rPr>
          <w:rFonts w:ascii="Times New Roman" w:hAnsi="Times New Roman" w:cs="Times New Roman"/>
          <w:sz w:val="24"/>
        </w:rPr>
        <w:t xml:space="preserve">duzzadás következhet be, ami hatással van a </w:t>
      </w:r>
      <w:proofErr w:type="spellStart"/>
      <w:r w:rsidR="00085058" w:rsidRPr="00070A1E">
        <w:rPr>
          <w:rFonts w:ascii="Times New Roman" w:hAnsi="Times New Roman" w:cs="Times New Roman"/>
          <w:sz w:val="24"/>
        </w:rPr>
        <w:t>pórusméreteloszlásra</w:t>
      </w:r>
      <w:proofErr w:type="spellEnd"/>
      <w:r w:rsidR="00085058" w:rsidRPr="00070A1E">
        <w:rPr>
          <w:rFonts w:ascii="Times New Roman" w:hAnsi="Times New Roman" w:cs="Times New Roman"/>
          <w:sz w:val="24"/>
        </w:rPr>
        <w:t>.</w:t>
      </w:r>
      <w:proofErr w:type="gramEnd"/>
      <w:r w:rsidR="001E0539" w:rsidRPr="00070A1E">
        <w:rPr>
          <w:rFonts w:ascii="Times New Roman" w:hAnsi="Times New Roman" w:cs="Times New Roman"/>
          <w:sz w:val="24"/>
        </w:rPr>
        <w:fldChar w:fldCharType="begin" w:fldLock="1"/>
      </w:r>
      <w:r w:rsidR="005A166B" w:rsidRPr="00070A1E">
        <w:rPr>
          <w:rFonts w:ascii="Times New Roman"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001E0539" w:rsidRPr="00070A1E">
        <w:rPr>
          <w:rFonts w:ascii="Times New Roman" w:hAnsi="Times New Roman" w:cs="Times New Roman"/>
          <w:sz w:val="24"/>
        </w:rPr>
        <w:fldChar w:fldCharType="separate"/>
      </w:r>
      <w:r w:rsidR="002C1A14" w:rsidRPr="00070A1E">
        <w:rPr>
          <w:rFonts w:ascii="Times New Roman" w:hAnsi="Times New Roman" w:cs="Times New Roman"/>
          <w:noProof/>
          <w:sz w:val="24"/>
        </w:rPr>
        <w:t>[3]</w:t>
      </w:r>
      <w:r w:rsidR="001E0539" w:rsidRPr="00070A1E">
        <w:rPr>
          <w:rFonts w:ascii="Times New Roman" w:hAnsi="Times New Roman" w:cs="Times New Roman"/>
          <w:sz w:val="24"/>
        </w:rPr>
        <w:fldChar w:fldCharType="end"/>
      </w:r>
    </w:p>
    <w:p w:rsidR="00F718CE" w:rsidRPr="00070A1E" w:rsidRDefault="00F718CE" w:rsidP="00BB7C97">
      <w:pPr>
        <w:ind w:firstLine="708"/>
        <w:jc w:val="both"/>
        <w:rPr>
          <w:rFonts w:ascii="Times New Roman" w:hAnsi="Times New Roman" w:cs="Times New Roman"/>
          <w:sz w:val="24"/>
        </w:rPr>
      </w:pPr>
      <w:r w:rsidRPr="00070A1E">
        <w:rPr>
          <w:rFonts w:ascii="Times New Roman" w:hAnsi="Times New Roman" w:cs="Times New Roman"/>
          <w:sz w:val="24"/>
        </w:rPr>
        <w:t xml:space="preserve">A legelterjedtebb a vízvisszatartás alapján történő meghatározás, mert az a gyakorlati körülményekre jobban jellemző eredményt ad. Az adszorpciós módszerekkel </w:t>
      </w:r>
      <w:r w:rsidR="00FB0798" w:rsidRPr="00070A1E">
        <w:rPr>
          <w:rFonts w:ascii="Times New Roman" w:hAnsi="Times New Roman" w:cs="Times New Roman"/>
          <w:sz w:val="24"/>
        </w:rPr>
        <w:t xml:space="preserve">(vízvisszatartás és higanyporozimetria) </w:t>
      </w:r>
      <w:r w:rsidRPr="00070A1E">
        <w:rPr>
          <w:rFonts w:ascii="Times New Roman" w:hAnsi="Times New Roman" w:cs="Times New Roman"/>
          <w:sz w:val="24"/>
        </w:rPr>
        <w:t>meghatározható legkisebb pórusok 50-100 nm-esek, míg a felső határ kb. 0,5 mm. Ezeket bármilyen irányba túllépve a mechanizmus már nem kapilláris</w:t>
      </w:r>
      <w:r w:rsidR="00FB0798" w:rsidRPr="00070A1E">
        <w:rPr>
          <w:rFonts w:ascii="Times New Roman" w:hAnsi="Times New Roman" w:cs="Times New Roman"/>
          <w:sz w:val="24"/>
        </w:rPr>
        <w:t xml:space="preserve"> </w:t>
      </w:r>
      <w:r w:rsidR="00FB0798" w:rsidRPr="00070A1E">
        <w:rPr>
          <w:rFonts w:ascii="Times New Roman" w:hAnsi="Times New Roman" w:cs="Times New Roman"/>
          <w:sz w:val="24"/>
        </w:rPr>
        <w:lastRenderedPageBreak/>
        <w:t xml:space="preserve">kölcsönhatásokon alapszik, ezért nem értelmezhető e módszerekkel. A képalapú módszerek az adszorpción alapulókhoz képest jelentősen eltérő eredményt adhatnak, </w:t>
      </w:r>
      <w:r w:rsidR="00BB7C97" w:rsidRPr="00070A1E">
        <w:rPr>
          <w:rFonts w:ascii="Times New Roman" w:hAnsi="Times New Roman" w:cs="Times New Roman"/>
          <w:sz w:val="24"/>
        </w:rPr>
        <w:t>és</w:t>
      </w:r>
      <w:r w:rsidR="00FB0798" w:rsidRPr="00070A1E">
        <w:rPr>
          <w:rFonts w:ascii="Times New Roman" w:hAnsi="Times New Roman" w:cs="Times New Roman"/>
          <w:sz w:val="24"/>
        </w:rPr>
        <w:t xml:space="preserve"> nem elterjedtek.</w:t>
      </w:r>
    </w:p>
    <w:p w:rsidR="0059029C" w:rsidRPr="00070A1E" w:rsidRDefault="005A166B" w:rsidP="0059029C">
      <w:pPr>
        <w:ind w:firstLine="708"/>
        <w:jc w:val="both"/>
        <w:rPr>
          <w:rFonts w:ascii="Times New Roman" w:hAnsi="Times New Roman" w:cs="Times New Roman"/>
          <w:sz w:val="24"/>
        </w:rPr>
      </w:pPr>
      <w:r w:rsidRPr="00070A1E">
        <w:rPr>
          <w:rFonts w:ascii="Times New Roman" w:hAnsi="Times New Roman" w:cs="Times New Roman"/>
          <w:sz w:val="24"/>
        </w:rPr>
        <w:t xml:space="preserve">A különböző talajok </w:t>
      </w:r>
      <w:proofErr w:type="spellStart"/>
      <w:r w:rsidRPr="00070A1E">
        <w:rPr>
          <w:rFonts w:ascii="Times New Roman" w:hAnsi="Times New Roman" w:cs="Times New Roman"/>
          <w:sz w:val="24"/>
        </w:rPr>
        <w:t>pórusméreteloszlását</w:t>
      </w:r>
      <w:proofErr w:type="spellEnd"/>
      <w:r w:rsidRPr="00070A1E">
        <w:rPr>
          <w:rFonts w:ascii="Times New Roman" w:hAnsi="Times New Roman" w:cs="Times New Roman"/>
          <w:sz w:val="24"/>
        </w:rPr>
        <w:t xml:space="preserve"> leginkább az ásványi összetétele, </w:t>
      </w:r>
      <w:r w:rsidR="00234373" w:rsidRPr="00070A1E">
        <w:rPr>
          <w:rFonts w:ascii="Times New Roman" w:hAnsi="Times New Roman" w:cs="Times New Roman"/>
          <w:sz w:val="24"/>
        </w:rPr>
        <w:t xml:space="preserve">és a </w:t>
      </w:r>
      <w:r w:rsidR="00085058" w:rsidRPr="00070A1E">
        <w:rPr>
          <w:rFonts w:ascii="Times New Roman" w:hAnsi="Times New Roman" w:cs="Times New Roman"/>
          <w:sz w:val="24"/>
        </w:rPr>
        <w:t>különböző</w:t>
      </w:r>
      <w:r w:rsidR="00234373" w:rsidRPr="00070A1E">
        <w:rPr>
          <w:rFonts w:ascii="Times New Roman" w:hAnsi="Times New Roman" w:cs="Times New Roman"/>
          <w:sz w:val="24"/>
        </w:rPr>
        <w:t xml:space="preserve"> külső hatások határozzák</w:t>
      </w:r>
      <w:r w:rsidRPr="00070A1E">
        <w:rPr>
          <w:rFonts w:ascii="Times New Roman" w:hAnsi="Times New Roman" w:cs="Times New Roman"/>
          <w:sz w:val="24"/>
        </w:rPr>
        <w:t xml:space="preserve"> meg</w:t>
      </w:r>
      <w:r w:rsidR="00234373" w:rsidRPr="00070A1E">
        <w:rPr>
          <w:rFonts w:ascii="Times New Roman" w:hAnsi="Times New Roman" w:cs="Times New Roman"/>
          <w:sz w:val="24"/>
        </w:rPr>
        <w:t xml:space="preserve"> (ezeket a 2. fejezetben mutattam be)</w:t>
      </w:r>
      <w:r w:rsidR="0059029C" w:rsidRPr="00070A1E">
        <w:rPr>
          <w:rFonts w:ascii="Times New Roman" w:hAnsi="Times New Roman" w:cs="Times New Roman"/>
          <w:sz w:val="24"/>
        </w:rPr>
        <w:t xml:space="preserve">. Egy jellegzetes meghatározó tényező a növények gyökérzete. Más-más </w:t>
      </w:r>
      <w:r w:rsidR="00085058" w:rsidRPr="00070A1E">
        <w:rPr>
          <w:rFonts w:ascii="Times New Roman" w:hAnsi="Times New Roman" w:cs="Times New Roman"/>
          <w:sz w:val="24"/>
        </w:rPr>
        <w:t>gyökérszerkezetű</w:t>
      </w:r>
      <w:r w:rsidR="0059029C" w:rsidRPr="00070A1E">
        <w:rPr>
          <w:rFonts w:ascii="Times New Roman" w:hAnsi="Times New Roman" w:cs="Times New Roman"/>
          <w:sz w:val="24"/>
        </w:rPr>
        <w:t xml:space="preserve"> növények más-más hatással vannak a pórusmért eloszlásra. Olyan </w:t>
      </w:r>
      <w:r w:rsidR="00085058" w:rsidRPr="00070A1E">
        <w:rPr>
          <w:rFonts w:ascii="Times New Roman" w:hAnsi="Times New Roman" w:cs="Times New Roman"/>
          <w:sz w:val="24"/>
        </w:rPr>
        <w:t>növények</w:t>
      </w:r>
      <w:r w:rsidR="0059029C" w:rsidRPr="00070A1E">
        <w:rPr>
          <w:rFonts w:ascii="Times New Roman" w:hAnsi="Times New Roman" w:cs="Times New Roman"/>
          <w:sz w:val="24"/>
        </w:rPr>
        <w:t xml:space="preserve">, melyek sűrűn növő, finom gyökérzettel rendelkeznek, gyakran preferálják a </w:t>
      </w:r>
      <w:proofErr w:type="spellStart"/>
      <w:r w:rsidR="0059029C" w:rsidRPr="00070A1E">
        <w:rPr>
          <w:rFonts w:ascii="Times New Roman" w:hAnsi="Times New Roman" w:cs="Times New Roman"/>
          <w:sz w:val="24"/>
        </w:rPr>
        <w:t>makropórusokat</w:t>
      </w:r>
      <w:proofErr w:type="spellEnd"/>
      <w:r w:rsidR="00085058" w:rsidRPr="00070A1E">
        <w:rPr>
          <w:rFonts w:ascii="Times New Roman" w:hAnsi="Times New Roman" w:cs="Times New Roman"/>
          <w:sz w:val="24"/>
        </w:rPr>
        <w:t>,</w:t>
      </w:r>
      <w:r w:rsidR="0059029C" w:rsidRPr="00070A1E">
        <w:rPr>
          <w:rFonts w:ascii="Times New Roman" w:hAnsi="Times New Roman" w:cs="Times New Roman"/>
          <w:sz w:val="24"/>
        </w:rPr>
        <w:t xml:space="preserve"> mint növekedési utakat. Ennek eredménye a makropórusok arányának csökkenése (hiszen gyökerek tömítik el őket), és a mik</w:t>
      </w:r>
      <w:r w:rsidR="00085058" w:rsidRPr="00070A1E">
        <w:rPr>
          <w:rFonts w:ascii="Times New Roman" w:hAnsi="Times New Roman" w:cs="Times New Roman"/>
          <w:sz w:val="24"/>
        </w:rPr>
        <w:t xml:space="preserve">ropórusok arányának növekedése, melynek oka </w:t>
      </w:r>
      <w:proofErr w:type="spellStart"/>
      <w:r w:rsidR="00085058" w:rsidRPr="00070A1E">
        <w:rPr>
          <w:rFonts w:ascii="Times New Roman" w:hAnsi="Times New Roman" w:cs="Times New Roman"/>
          <w:sz w:val="24"/>
        </w:rPr>
        <w:t>mikrorepedések</w:t>
      </w:r>
      <w:proofErr w:type="spellEnd"/>
      <w:r w:rsidR="00085058" w:rsidRPr="00070A1E">
        <w:rPr>
          <w:rFonts w:ascii="Times New Roman" w:hAnsi="Times New Roman" w:cs="Times New Roman"/>
          <w:sz w:val="24"/>
        </w:rPr>
        <w:t xml:space="preserve"> gyökérnövekedés hatására történő keletkezése</w:t>
      </w:r>
      <w:r w:rsidR="0059029C" w:rsidRPr="00070A1E">
        <w:rPr>
          <w:rFonts w:ascii="Times New Roman" w:hAnsi="Times New Roman" w:cs="Times New Roman"/>
          <w:sz w:val="24"/>
        </w:rPr>
        <w:t xml:space="preserve">, illetve </w:t>
      </w:r>
      <w:r w:rsidR="00085058" w:rsidRPr="00070A1E">
        <w:rPr>
          <w:rFonts w:ascii="Times New Roman" w:hAnsi="Times New Roman" w:cs="Times New Roman"/>
          <w:sz w:val="24"/>
        </w:rPr>
        <w:t xml:space="preserve">mert az </w:t>
      </w:r>
      <w:proofErr w:type="spellStart"/>
      <w:r w:rsidR="0059029C" w:rsidRPr="00070A1E">
        <w:rPr>
          <w:rFonts w:ascii="Times New Roman" w:hAnsi="Times New Roman" w:cs="Times New Roman"/>
          <w:sz w:val="24"/>
        </w:rPr>
        <w:t>aggregátumképződés</w:t>
      </w:r>
      <w:proofErr w:type="spellEnd"/>
      <w:r w:rsidR="00880904" w:rsidRPr="00070A1E">
        <w:rPr>
          <w:rFonts w:ascii="Times New Roman" w:hAnsi="Times New Roman" w:cs="Times New Roman"/>
          <w:sz w:val="24"/>
        </w:rPr>
        <w:t xml:space="preserve"> a gyökér jelenléte miatti,</w:t>
      </w:r>
      <w:r w:rsidR="0059029C" w:rsidRPr="00070A1E">
        <w:rPr>
          <w:rFonts w:ascii="Times New Roman" w:hAnsi="Times New Roman" w:cs="Times New Roman"/>
          <w:sz w:val="24"/>
        </w:rPr>
        <w:t xml:space="preserve"> l</w:t>
      </w:r>
      <w:r w:rsidR="00085058" w:rsidRPr="00070A1E">
        <w:rPr>
          <w:rFonts w:ascii="Times New Roman" w:hAnsi="Times New Roman" w:cs="Times New Roman"/>
          <w:sz w:val="24"/>
        </w:rPr>
        <w:t xml:space="preserve">okálisan gyorsabb száradás miatt könnyebben következik be. </w:t>
      </w:r>
      <w:r w:rsidR="00880904" w:rsidRPr="00070A1E">
        <w:rPr>
          <w:rFonts w:ascii="Times New Roman" w:hAnsi="Times New Roman" w:cs="Times New Roman"/>
          <w:sz w:val="24"/>
        </w:rPr>
        <w:t xml:space="preserve">Ritkábban növő, de </w:t>
      </w:r>
      <w:proofErr w:type="spellStart"/>
      <w:r w:rsidR="00880904" w:rsidRPr="00070A1E">
        <w:rPr>
          <w:rFonts w:ascii="Times New Roman" w:hAnsi="Times New Roman" w:cs="Times New Roman"/>
          <w:sz w:val="24"/>
        </w:rPr>
        <w:t>durváb</w:t>
      </w:r>
      <w:proofErr w:type="spellEnd"/>
      <w:r w:rsidR="00880904" w:rsidRPr="00070A1E">
        <w:rPr>
          <w:rFonts w:ascii="Times New Roman" w:hAnsi="Times New Roman" w:cs="Times New Roman"/>
          <w:sz w:val="24"/>
        </w:rPr>
        <w:t xml:space="preserve"> </w:t>
      </w:r>
      <w:r w:rsidR="0059029C" w:rsidRPr="00070A1E">
        <w:rPr>
          <w:rFonts w:ascii="Times New Roman" w:hAnsi="Times New Roman" w:cs="Times New Roman"/>
          <w:sz w:val="24"/>
        </w:rPr>
        <w:t xml:space="preserve">gyökérzetek esetén jellemző, hogy átrendezi a szemcsék elhelyezkedését, új utat vágva magának. </w:t>
      </w:r>
      <w:proofErr w:type="gramStart"/>
      <w:r w:rsidR="0059029C" w:rsidRPr="00070A1E">
        <w:rPr>
          <w:rFonts w:ascii="Times New Roman" w:hAnsi="Times New Roman" w:cs="Times New Roman"/>
          <w:sz w:val="24"/>
        </w:rPr>
        <w:t>A gyökér elhalását, zsugorodását követően e pórusok megmaradnak, ami a makropórusok arányának növekedésével jár.</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{"citationItems":[{"id":"ITEM-1","itemData":{"DOI":"10.1007/s11104-014-2079-8","ISSN":"0032079X","abstract":"Aims: Small scale root-pore interactions require validation of their impact on effective hydraulic processes at the field scale. Our objective was to develop an interpretative framework linking root effects on macroscopic pore parameters with knowledge at the rhizosphere scale. Methods: A field experiment with twelve species from different families was conducted. Parameters of Kosugi's pore size distribution (PSD) model were determined inversely from tension infiltrometer data. Measured root traits were related to pore variables by regression analysis. A pore evolution model was used to analyze if observed pore dynamics followed a diffusion like process. Results: Roots essentially conditioned soil properties at the field scale. Rooting densities higher than 0.5 % of pore space stabilized soil structure against pore loss. Coarse root systems increased macroporosity by 30 %. Species with dense fine root systems induced heterogenization of the pore space and higher micropore volume. We suggested particle re-orientation and aggregate coalescence as main underlying processes. The diffusion type pore evolution model could only partially capture the observed PSD dynamics. Conclusions: Root systems differing in axes morphology induced distinctive pore dynamics. Scaling between these effective hydraulic impacts and processes at the root-pore interface is essential for plant based management of soil structure. © 2014 The Author(s).","author":[{"dropping-particle":"","family":"Bodner","given":"G.","non-dropping-particle":"","parse-names":false,"suffix":""},{"dropping-particle":"","family":"Leitner","given":"D.","non-dropping-particle":"","parse-names":false,"suffix":""},{"dropping-particle":"","family":"Kaul","given":"H. P.","non-dropping-particle":"","parse-names":false,"suffix":""}],"container-title":"Plant and Soil","id":"ITEM-1","issue":"1","issued":{"date-parts":[["2014"]]},"page":"133-151","title":"Coarse and fine root plants affect pore size distributions differently","type":"article-journal","volume":"380"},"uris":["http://www.mendeley.com/documents/?uuid=89e5befb-a6eb-4400-b9ff-fa7d3beb6e4f"]}],"mendeley":{"formattedCitation":"[14]","plainTextFormattedCitation":"[14]","previouslyFormattedCitation":"[14]"},"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[14]</w:t>
      </w:r>
      <w:r w:rsidR="001E0539" w:rsidRPr="00070A1E">
        <w:rPr>
          <w:rFonts w:ascii="Times New Roman" w:hAnsi="Times New Roman" w:cs="Times New Roman"/>
          <w:sz w:val="24"/>
        </w:rPr>
        <w:fldChar w:fldCharType="end"/>
      </w:r>
    </w:p>
    <w:p w:rsidR="0059029C" w:rsidRPr="00070A1E" w:rsidRDefault="0059029C" w:rsidP="0059029C">
      <w:pPr>
        <w:ind w:firstLine="708"/>
        <w:jc w:val="both"/>
        <w:rPr>
          <w:rFonts w:ascii="Times New Roman" w:hAnsi="Times New Roman" w:cs="Times New Roman"/>
          <w:sz w:val="24"/>
        </w:rPr>
      </w:pPr>
      <w:r w:rsidRPr="00070A1E">
        <w:rPr>
          <w:rFonts w:ascii="Times New Roman" w:hAnsi="Times New Roman" w:cs="Times New Roman"/>
          <w:sz w:val="24"/>
        </w:rPr>
        <w:t>A</w:t>
      </w:r>
      <w:r w:rsidR="005A166B" w:rsidRPr="00070A1E">
        <w:rPr>
          <w:rFonts w:ascii="Times New Roman" w:hAnsi="Times New Roman" w:cs="Times New Roman"/>
          <w:sz w:val="24"/>
        </w:rPr>
        <w:t xml:space="preserve"> talaj</w:t>
      </w:r>
      <w:r w:rsidRPr="00070A1E">
        <w:rPr>
          <w:rFonts w:ascii="Times New Roman" w:hAnsi="Times New Roman" w:cs="Times New Roman"/>
          <w:sz w:val="24"/>
        </w:rPr>
        <w:t xml:space="preserve"> (már nem élő)</w:t>
      </w:r>
      <w:r w:rsidR="005A166B" w:rsidRPr="00070A1E">
        <w:rPr>
          <w:rFonts w:ascii="Times New Roman" w:hAnsi="Times New Roman" w:cs="Times New Roman"/>
          <w:sz w:val="24"/>
        </w:rPr>
        <w:t xml:space="preserve"> szerves anyag tartalma egy olyan tényező, ami jelentős hatással van a tal</w:t>
      </w:r>
      <w:r w:rsidR="00234373" w:rsidRPr="00070A1E">
        <w:rPr>
          <w:rFonts w:ascii="Times New Roman" w:hAnsi="Times New Roman" w:cs="Times New Roman"/>
          <w:sz w:val="24"/>
        </w:rPr>
        <w:t xml:space="preserve">aj </w:t>
      </w:r>
      <w:r w:rsidR="00880904" w:rsidRPr="00070A1E">
        <w:rPr>
          <w:rFonts w:ascii="Times New Roman" w:hAnsi="Times New Roman" w:cs="Times New Roman"/>
          <w:sz w:val="24"/>
        </w:rPr>
        <w:t>pórusméret-eloszlására</w:t>
      </w:r>
      <w:r w:rsidR="00234373" w:rsidRPr="00070A1E">
        <w:rPr>
          <w:rFonts w:ascii="Times New Roman" w:hAnsi="Times New Roman" w:cs="Times New Roman"/>
          <w:sz w:val="24"/>
        </w:rPr>
        <w:t>. E fejezet</w:t>
      </w:r>
      <w:r w:rsidR="005A166B" w:rsidRPr="00070A1E">
        <w:rPr>
          <w:rFonts w:ascii="Times New Roman" w:hAnsi="Times New Roman" w:cs="Times New Roman"/>
          <w:sz w:val="24"/>
        </w:rPr>
        <w:t xml:space="preserve"> elején </w:t>
      </w:r>
      <w:r w:rsidRPr="00070A1E">
        <w:rPr>
          <w:rFonts w:ascii="Times New Roman" w:hAnsi="Times New Roman" w:cs="Times New Roman"/>
          <w:sz w:val="24"/>
        </w:rPr>
        <w:t>említettem</w:t>
      </w:r>
      <w:r w:rsidR="005A166B" w:rsidRPr="00070A1E">
        <w:rPr>
          <w:rFonts w:ascii="Times New Roman" w:hAnsi="Times New Roman" w:cs="Times New Roman"/>
          <w:sz w:val="24"/>
        </w:rPr>
        <w:t>, hogy a szerves vegyületek kötőanyagként funkcionálnak, de</w:t>
      </w:r>
      <w:r w:rsidR="00234373" w:rsidRPr="00070A1E">
        <w:rPr>
          <w:rFonts w:ascii="Times New Roman" w:hAnsi="Times New Roman" w:cs="Times New Roman"/>
          <w:sz w:val="24"/>
        </w:rPr>
        <w:t xml:space="preserve"> ellentétben más kötőanyagokkal,</w:t>
      </w:r>
      <w:r w:rsidR="005A166B" w:rsidRPr="00070A1E">
        <w:rPr>
          <w:rFonts w:ascii="Times New Roman" w:hAnsi="Times New Roman" w:cs="Times New Roman"/>
          <w:sz w:val="24"/>
        </w:rPr>
        <w:t xml:space="preserve"> összességében növelik a porozitását a talajnak. E vegyületek szerepe, hogy kötőanyagként </w:t>
      </w:r>
      <w:proofErr w:type="spellStart"/>
      <w:r w:rsidR="005A166B" w:rsidRPr="00070A1E">
        <w:rPr>
          <w:rFonts w:ascii="Times New Roman" w:hAnsi="Times New Roman" w:cs="Times New Roman"/>
          <w:sz w:val="24"/>
        </w:rPr>
        <w:t>aggregárumokat</w:t>
      </w:r>
      <w:proofErr w:type="spellEnd"/>
      <w:r w:rsidR="005A166B" w:rsidRPr="00070A1E">
        <w:rPr>
          <w:rFonts w:ascii="Times New Roman" w:hAnsi="Times New Roman" w:cs="Times New Roman"/>
          <w:sz w:val="24"/>
        </w:rPr>
        <w:t xml:space="preserve"> hoznak létre a szemcsékből, ennek hatására pedig új, az egyedi szemcsék között lévőktől nagyobb (főleg makro) pórusok alakulnak ki a talajban. Ennek megfelelően amennyiben </w:t>
      </w:r>
      <w:r w:rsidR="00234373" w:rsidRPr="00070A1E">
        <w:rPr>
          <w:rFonts w:ascii="Times New Roman" w:hAnsi="Times New Roman" w:cs="Times New Roman"/>
          <w:sz w:val="24"/>
        </w:rPr>
        <w:t xml:space="preserve">eltávolítjuk a szerves anyagokat, - </w:t>
      </w:r>
      <w:r w:rsidR="005A166B" w:rsidRPr="00070A1E">
        <w:rPr>
          <w:rFonts w:ascii="Times New Roman" w:hAnsi="Times New Roman" w:cs="Times New Roman"/>
          <w:sz w:val="24"/>
        </w:rPr>
        <w:t>például hidrogén-peroxidos kezeléssel</w:t>
      </w:r>
      <w:r w:rsidR="00234373" w:rsidRPr="00070A1E">
        <w:rPr>
          <w:rFonts w:ascii="Times New Roman" w:hAnsi="Times New Roman" w:cs="Times New Roman"/>
          <w:sz w:val="24"/>
        </w:rPr>
        <w:t xml:space="preserve"> - akkor</w:t>
      </w:r>
      <w:r w:rsidR="005A166B" w:rsidRPr="00070A1E">
        <w:rPr>
          <w:rFonts w:ascii="Times New Roman" w:hAnsi="Times New Roman" w:cs="Times New Roman"/>
          <w:sz w:val="24"/>
        </w:rPr>
        <w:t xml:space="preserve"> az aggregátumok szétesnek kisebb szemcsékre és megszűnik a makropórusok nagy hányada, míg ezzel</w:t>
      </w:r>
      <w:r w:rsidR="00BB7C97" w:rsidRPr="00070A1E">
        <w:rPr>
          <w:rFonts w:ascii="Times New Roman" w:hAnsi="Times New Roman" w:cs="Times New Roman"/>
          <w:sz w:val="24"/>
        </w:rPr>
        <w:t xml:space="preserve"> párhuzamosan nő a mikropórusok aránya é</w:t>
      </w:r>
      <w:r w:rsidR="00234373" w:rsidRPr="00070A1E">
        <w:rPr>
          <w:rFonts w:ascii="Times New Roman" w:hAnsi="Times New Roman" w:cs="Times New Roman"/>
          <w:sz w:val="24"/>
        </w:rPr>
        <w:t>s</w:t>
      </w:r>
      <w:r w:rsidR="00BB7C97" w:rsidRPr="00070A1E">
        <w:rPr>
          <w:rFonts w:ascii="Times New Roman" w:hAnsi="Times New Roman" w:cs="Times New Roman"/>
          <w:sz w:val="24"/>
        </w:rPr>
        <w:t xml:space="preserve"> hozzájárulása a pórustérfogathoz. </w:t>
      </w:r>
      <w:proofErr w:type="gramStart"/>
      <w:r w:rsidR="00BB7C97" w:rsidRPr="00070A1E">
        <w:rPr>
          <w:rFonts w:ascii="Times New Roman" w:hAnsi="Times New Roman" w:cs="Times New Roman"/>
          <w:sz w:val="24"/>
        </w:rPr>
        <w:t>Azt is érdemes megjegyezni, hogy amellett, hogy a makropórusok megsemmisülnek, valamilyen mértékben a mikropórusok száma is nő</w:t>
      </w:r>
      <w:r w:rsidR="00234373" w:rsidRPr="00070A1E">
        <w:rPr>
          <w:rFonts w:ascii="Times New Roman" w:hAnsi="Times New Roman" w:cs="Times New Roman"/>
          <w:sz w:val="24"/>
        </w:rPr>
        <w:t>, ami a szerves anyagok által</w:t>
      </w:r>
      <w:r w:rsidR="00BB7C97" w:rsidRPr="00070A1E">
        <w:rPr>
          <w:rFonts w:ascii="Times New Roman" w:hAnsi="Times New Roman" w:cs="Times New Roman"/>
          <w:sz w:val="24"/>
        </w:rPr>
        <w:t xml:space="preserve"> eltömített mikropórusok felszabadulásával magyarázható.</w:t>
      </w:r>
      <w:proofErr w:type="gramEnd"/>
      <w:r w:rsidR="001E0539" w:rsidRPr="00070A1E">
        <w:rPr>
          <w:rFonts w:ascii="Times New Roman" w:hAnsi="Times New Roman" w:cs="Times New Roman"/>
          <w:sz w:val="24"/>
        </w:rPr>
        <w:fldChar w:fldCharType="begin" w:fldLock="1"/>
      </w:r>
      <w:r w:rsidR="00BD3E87" w:rsidRPr="00070A1E">
        <w:rPr>
          <w:rFonts w:ascii="Times New Roman" w:hAnsi="Times New Roman" w:cs="Times New Roman"/>
          <w:sz w:val="24"/>
        </w:rPr>
        <w:instrText>ADDIN CSL_CITATION {"citationItems":[{"id":"ITEM-1","itemData":{"DOI":"10.1016/S1002-0160(15)60009-1","ISSN":"10020160","abstract":"Soil pore size distribution (PSD) directly influences soil physical, chemical, and biological properties, and further knowledge of soil PSD is very helpful for understanding soil functions and processes. In this study, PSD of three clayey soils collected from the topsoil (0-20 cm) of Vertisols in Northern China was analyzed using the N2 adsorption (NA) and mercury intrusion porosimetry (MIP) methods. The effect of soil organic matter (SOM) on the PSD of clayey soils was also evaluated. The differential curves of pore volume of clayey soils by the NA method exhibited that the pores with diameter &lt; 0.01 μm accounted for more than 50% in the pore size range of 0.001 to 0.1 μm. The differential pore curves of clayey soils by the MIP method exhibited three distinct peaks in pore size range of 60 to 100, 0.3 to 0.4 and 0.009 to 0.012 μm, respectively. In the three clayey soils, the ultramicropores (5-0.1 μm) were determined to be the main pore class (on average 35.5%), followed by macropores (&gt; 75 μm, 31.4%), cryptopores (0.1-0.007 μm, 16.0%), micropores (30-5 μm, 9.7%) and mesopores (75-30 μm, 7.3%). The SOM greatly affected the pore structure and PSD of aggregates in clayey soils. In particular, SOM removal reduced the volume and porosity of 5-100 μm pores while increased those of &lt; 5 μm pores in the 5-2 and 2-0.25 mm aggregates of clayey soils. The increase in the volume and porosity of &lt; 5 μm pores may be attributed to the disaggregation and partial emptying of small pores caused by the destruction of SOM.","author":[{"dropping-particle":"","family":"Zaffar","given":"Malik","non-dropping-particle":"","parse-names":false,"suffix":""},{"dropping-particle":"","family":"Lu","given":"Sheng Gao","non-dropping-particle":"","parse-names":false,"suffix":""}],"container-title":"Pedosphere","id":"ITEM-1","issue":"2","issued":{"date-parts":[["2015"]]},"page":"240-249","publisher":"Soil Science Society of China","title":"Pore size distribution of clayey soils and its correlation with soil organic matter","type":"article-journal","volume":"25"},"uris":["http://www.mendeley.com/documents/?uuid=e9332ae4-d82c-46c0-a152-5ced6e888b5e"]}],"mendeley":{"formattedCitation":"[4]","plainTextFormattedCitation":"[4]","previouslyFormattedCitation":"[4]"},"properties":{"noteIndex":0},"schema":"https://github.com/citation-style-language/schema/raw/master/csl-citation.json"}</w:instrText>
      </w:r>
      <w:r w:rsidR="001E0539" w:rsidRPr="00070A1E">
        <w:rPr>
          <w:rFonts w:ascii="Times New Roman" w:hAnsi="Times New Roman" w:cs="Times New Roman"/>
          <w:sz w:val="24"/>
        </w:rPr>
        <w:fldChar w:fldCharType="separate"/>
      </w:r>
      <w:r w:rsidR="00C12848" w:rsidRPr="00070A1E">
        <w:rPr>
          <w:rFonts w:ascii="Times New Roman" w:hAnsi="Times New Roman" w:cs="Times New Roman"/>
          <w:noProof/>
          <w:sz w:val="24"/>
        </w:rPr>
        <w:t>[4]</w:t>
      </w:r>
      <w:r w:rsidR="001E0539" w:rsidRPr="00070A1E">
        <w:rPr>
          <w:rFonts w:ascii="Times New Roman" w:hAnsi="Times New Roman" w:cs="Times New Roman"/>
          <w:sz w:val="24"/>
        </w:rPr>
        <w:fldChar w:fldCharType="end"/>
      </w:r>
      <w:r w:rsidR="00C12848" w:rsidRPr="00070A1E">
        <w:rPr>
          <w:rFonts w:ascii="Times New Roman" w:hAnsi="Times New Roman" w:cs="Times New Roman"/>
          <w:sz w:val="24"/>
        </w:rPr>
        <w:t xml:space="preserve"> </w:t>
      </w:r>
      <w:proofErr w:type="gramStart"/>
      <w:r w:rsidR="00C12848" w:rsidRPr="00070A1E">
        <w:rPr>
          <w:rFonts w:ascii="Times New Roman" w:hAnsi="Times New Roman" w:cs="Times New Roman"/>
          <w:sz w:val="24"/>
        </w:rPr>
        <w:t>Jelentős mennyiségű szerves anyag hozzáadása (pl. trágyázás) az igen nagy, akár 0,5 mm-es vagy még nagyobb pórusok arányának növekedésével jár.</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{"citationItems":[{"id":"ITEM-1","itemData":{"DOI":"10.1016/j.still.2004.07.002","ISSN":"01671987","abstract":"To evaluate the impact of management practices on the soil environment, it is necessary to quantify the modifications to the soil structure. Soil structure conditions were evaluated by characterizing porosity using a combination of mercury intrusion porosimetry, image analysis and micromorphological observations. Saturated hydraulic conductivity and aggregate stability were also analysed. In soils tilled by alternative tillage systems, like ripper subsoiling, the macroporosity was generally higher and homogeneously distributed through the profile while the conventional tillage systems, like the mouldboard ploughing, showed a significant reduction of porosity both in the surface layer (0-100 mm) and at the lower cultivation depth (400-500 mm). The higher macroporosity in soils under alternative tillage systems was due to a larger number of elongated transmission pores. Also, the microporosity within the aggregates, measured by mercury intrusion porosimetry, increased in the soil tilled by ripper subsoiling and disc harrow (minimum tillage). The resulting soil structure was more open and more homogeneous, thus allowing better water movement, as confirmed by the higher hydraulic conductivity in the soil tilled by ripper subsoiling. Aggregates were less stable in ploughed soils and this resulted in a more pronounced tendency to form surface crust compared with soils under minimum tillage and ripper subsoiling. The application of compost and manure improved the soil porosity and the soil aggregation. A better aggregation indicated that the addition of organic materials plays an important role in preventing soil crust formation. These results confirm that it is possible to adopt alternative tillage systems to prevent soil physical degradation and that the application of organic materials is essential to improve the soil structure quality. © 2004 Elsevier B.V. All rights reserved.","author":[{"dropping-particle":"","family":"Pagliai","given":"M.","non-dropping-particle":"","parse-names":false,"suffix":""},{"dropping-particle":"","family":"Vignozzi","given":"N.","non-dropping-particle":"","parse-names":false,"suffix":""},{"dropping-particle":"","family":"Pellegrini","given":"S.","non-dropping-particle":"","parse-names":false,"suffix":""}],"container-title":"Soil and Tillage Research","id":"ITEM-1","issue":"2 SPEC.ISS.","issued":{"date-parts":[["2004"]]},"page":"131-143","title":"Soil structure and the effect of management practices","type":"article-journal","volume":"79"},"uris":["http://www.mendeley.com/documents/?uuid=bbec4e76-16b6-4dfa-a828-349a05484bfb"]}],"mendeley":{"formattedCitation":"[5]","plainTextFormattedCitation":"[5]","previouslyFormattedCitation":"[5]"},"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[5]</w:t>
      </w:r>
      <w:r w:rsidR="001E0539" w:rsidRPr="00070A1E">
        <w:rPr>
          <w:rFonts w:ascii="Times New Roman" w:hAnsi="Times New Roman" w:cs="Times New Roman"/>
          <w:sz w:val="24"/>
        </w:rPr>
        <w:fldChar w:fldCharType="end"/>
      </w:r>
    </w:p>
    <w:p w:rsidR="008814FD" w:rsidRPr="00070A1E" w:rsidRDefault="008814FD" w:rsidP="008814FD">
      <w:pPr>
        <w:jc w:val="both"/>
        <w:rPr>
          <w:rFonts w:ascii="Times New Roman" w:hAnsi="Times New Roman" w:cs="Times New Roman"/>
          <w:sz w:val="24"/>
        </w:rPr>
      </w:pPr>
    </w:p>
    <w:p w:rsidR="008814FD" w:rsidRPr="002F2B05" w:rsidRDefault="008814FD" w:rsidP="008814FD">
      <w:pPr>
        <w:pStyle w:val="Listaszerbekezds"/>
        <w:numPr>
          <w:ilvl w:val="0"/>
          <w:numId w:val="4"/>
        </w:numPr>
        <w:jc w:val="center"/>
        <w:rPr>
          <w:rFonts w:ascii="Times New Roman" w:hAnsi="Times New Roman" w:cs="Times New Roman"/>
          <w:b/>
          <w:sz w:val="28"/>
        </w:rPr>
      </w:pPr>
      <w:r w:rsidRPr="002F2B05">
        <w:rPr>
          <w:rFonts w:ascii="Times New Roman" w:hAnsi="Times New Roman" w:cs="Times New Roman"/>
          <w:b/>
          <w:sz w:val="28"/>
        </w:rPr>
        <w:t>A pórusos szerkezet hatása a talaj tulajdonságaira</w:t>
      </w:r>
    </w:p>
    <w:p w:rsidR="008814FD" w:rsidRPr="00070A1E" w:rsidRDefault="008814FD" w:rsidP="008814FD">
      <w:pPr>
        <w:pStyle w:val="Listaszerbekezds"/>
        <w:rPr>
          <w:rFonts w:ascii="Times New Roman" w:hAnsi="Times New Roman" w:cs="Times New Roman"/>
          <w:b/>
          <w:sz w:val="28"/>
          <w:u w:val="single"/>
        </w:rPr>
      </w:pPr>
    </w:p>
    <w:p w:rsidR="008814FD" w:rsidRDefault="008814FD" w:rsidP="008814FD">
      <w:pPr>
        <w:jc w:val="both"/>
        <w:rPr>
          <w:rFonts w:ascii="Times New Roman" w:hAnsi="Times New Roman" w:cs="Times New Roman"/>
          <w:sz w:val="24"/>
        </w:rPr>
      </w:pPr>
      <w:r w:rsidRPr="00070A1E">
        <w:rPr>
          <w:rFonts w:ascii="Times New Roman" w:hAnsi="Times New Roman" w:cs="Times New Roman"/>
          <w:sz w:val="24"/>
        </w:rPr>
        <w:t>Az előző fejezetben volt szó a talaj fajlagos felületéről, porozitásáról és pórusméret eloszlásáról. Ebben a fejezetben pedig arra fogok kitérni, hogy e jellemzők a talaj milyen más fontos tulajdonságaira vannak hatással.</w:t>
      </w:r>
    </w:p>
    <w:p w:rsidR="002F2B05" w:rsidRDefault="002F2B05" w:rsidP="008814FD">
      <w:pPr>
        <w:jc w:val="both"/>
        <w:rPr>
          <w:rFonts w:ascii="Times New Roman" w:hAnsi="Times New Roman" w:cs="Times New Roman"/>
          <w:sz w:val="24"/>
        </w:rPr>
      </w:pPr>
    </w:p>
    <w:p w:rsidR="002F2B05" w:rsidRDefault="002F2B05" w:rsidP="008814FD">
      <w:pPr>
        <w:jc w:val="both"/>
        <w:rPr>
          <w:rFonts w:ascii="Times New Roman" w:hAnsi="Times New Roman" w:cs="Times New Roman"/>
          <w:sz w:val="24"/>
        </w:rPr>
      </w:pPr>
    </w:p>
    <w:p w:rsidR="002F2B05" w:rsidRDefault="002F2B05" w:rsidP="008814FD">
      <w:pPr>
        <w:jc w:val="both"/>
        <w:rPr>
          <w:rFonts w:ascii="Times New Roman" w:hAnsi="Times New Roman" w:cs="Times New Roman"/>
          <w:sz w:val="24"/>
        </w:rPr>
      </w:pPr>
    </w:p>
    <w:p w:rsidR="002F2B05" w:rsidRPr="00070A1E" w:rsidRDefault="002F2B05" w:rsidP="008814FD">
      <w:pPr>
        <w:jc w:val="both"/>
        <w:rPr>
          <w:rFonts w:ascii="Times New Roman" w:hAnsi="Times New Roman" w:cs="Times New Roman"/>
          <w:sz w:val="24"/>
        </w:rPr>
      </w:pPr>
    </w:p>
    <w:p w:rsidR="008814FD" w:rsidRPr="002F2B05" w:rsidRDefault="008814FD" w:rsidP="002F2B05">
      <w:pPr>
        <w:jc w:val="center"/>
        <w:rPr>
          <w:rFonts w:ascii="Times New Roman" w:hAnsi="Times New Roman" w:cs="Times New Roman"/>
          <w:b/>
          <w:sz w:val="24"/>
          <w:u w:val="single"/>
        </w:rPr>
      </w:pPr>
      <w:r w:rsidRPr="00070A1E">
        <w:rPr>
          <w:rFonts w:ascii="Times New Roman" w:hAnsi="Times New Roman" w:cs="Times New Roman"/>
          <w:b/>
          <w:sz w:val="24"/>
          <w:u w:val="single"/>
        </w:rPr>
        <w:lastRenderedPageBreak/>
        <w:t>Fajlagos felület</w:t>
      </w:r>
    </w:p>
    <w:p w:rsidR="00F52D31" w:rsidRPr="00070A1E" w:rsidRDefault="00BD3E87" w:rsidP="008814FD">
      <w:pPr>
        <w:jc w:val="both"/>
        <w:rPr>
          <w:rFonts w:ascii="Times New Roman" w:hAnsi="Times New Roman" w:cs="Times New Roman"/>
          <w:sz w:val="24"/>
        </w:rPr>
      </w:pPr>
      <w:r w:rsidRPr="00070A1E">
        <w:rPr>
          <w:rFonts w:ascii="Times New Roman" w:hAnsi="Times New Roman" w:cs="Times New Roman"/>
          <w:sz w:val="24"/>
        </w:rPr>
        <w:tab/>
      </w:r>
      <w:r w:rsidR="00247560" w:rsidRPr="00070A1E">
        <w:rPr>
          <w:rFonts w:ascii="Times New Roman" w:hAnsi="Times New Roman" w:cs="Times New Roman"/>
          <w:sz w:val="24"/>
        </w:rPr>
        <w:t xml:space="preserve">A talajban lévő szemcsék között a kölcsönhatások erőssége a víztartalommal változik. </w:t>
      </w:r>
      <w:proofErr w:type="gramStart"/>
      <w:r w:rsidR="00247560" w:rsidRPr="00070A1E">
        <w:rPr>
          <w:rFonts w:ascii="Times New Roman" w:hAnsi="Times New Roman" w:cs="Times New Roman"/>
          <w:sz w:val="24"/>
        </w:rPr>
        <w:t>Szabványosan három állapottal, és két határral jellemezhetők ebből a szempontból: kemény, plasztikus és folyós, illetve az ezeket meghatározó plasztikus (sodrási) és folyási határ.</w:t>
      </w:r>
      <w:proofErr w:type="gramEnd"/>
      <w:r w:rsidR="001E0539" w:rsidRPr="00070A1E">
        <w:rPr>
          <w:rFonts w:ascii="Times New Roman" w:hAnsi="Times New Roman" w:cs="Times New Roman"/>
          <w:sz w:val="24"/>
        </w:rPr>
        <w:fldChar w:fldCharType="begin" w:fldLock="1"/>
      </w:r>
      <w:r w:rsidR="00A24D7E" w:rsidRPr="00070A1E">
        <w:rPr>
          <w:rFonts w:ascii="Times New Roman" w:hAnsi="Times New Roman" w:cs="Times New Roman"/>
          <w:sz w:val="24"/>
        </w:rPr>
        <w:instrText>ADDIN CSL_CITATION {"citationItems":[{"id":"ITEM-1","itemData":{"author":[{"dropping-particle":"","family":"Faur","given":"Krisztina Beáta","non-dropping-particle":"","parse-names":false,"suffix":""},{"dropping-particle":"","family":"Imre","given":"Szabó","non-dropping-particle":"","parse-names":false,"suffix":""}],"id":"ITEM-1","issued":{"date-parts":[["2011"]]},"publisher":"Miksolci Egyetem Földtudományi Kar","publisher-place":"Miskolc","title":"Geotechnika","type":"book"},"uris":["http://www.mendeley.com/documents/?uuid=46158d5a-1115-417c-80fd-fc969b2a7349"]}],"mendeley":{"formattedCitation":"[15]","plainTextFormattedCitation":"[15]","previouslyFormattedCitation":"[15]"},"properties":{"noteIndex":0},"schema":"https://github.com/citation-style-language/schema/raw/master/csl-citation.json"}</w:instrText>
      </w:r>
      <w:r w:rsidR="001E0539" w:rsidRPr="00070A1E">
        <w:rPr>
          <w:rFonts w:ascii="Times New Roman" w:hAnsi="Times New Roman" w:cs="Times New Roman"/>
          <w:sz w:val="24"/>
        </w:rPr>
        <w:fldChar w:fldCharType="separate"/>
      </w:r>
      <w:r w:rsidR="0059029C" w:rsidRPr="00070A1E">
        <w:rPr>
          <w:rFonts w:ascii="Times New Roman" w:hAnsi="Times New Roman" w:cs="Times New Roman"/>
          <w:noProof/>
          <w:sz w:val="24"/>
        </w:rPr>
        <w:t>[15]</w:t>
      </w:r>
      <w:r w:rsidR="001E0539" w:rsidRPr="00070A1E">
        <w:rPr>
          <w:rFonts w:ascii="Times New Roman" w:hAnsi="Times New Roman" w:cs="Times New Roman"/>
          <w:sz w:val="24"/>
        </w:rPr>
        <w:fldChar w:fldCharType="end"/>
      </w:r>
      <w:r w:rsidR="00F52D31" w:rsidRPr="00070A1E">
        <w:rPr>
          <w:rFonts w:ascii="Times New Roman" w:hAnsi="Times New Roman" w:cs="Times New Roman"/>
          <w:sz w:val="24"/>
        </w:rPr>
        <w:t xml:space="preserve"> </w:t>
      </w:r>
      <w:proofErr w:type="gramStart"/>
      <w:r w:rsidR="00F52D31" w:rsidRPr="00070A1E">
        <w:rPr>
          <w:rFonts w:ascii="Times New Roman" w:hAnsi="Times New Roman" w:cs="Times New Roman"/>
          <w:sz w:val="24"/>
        </w:rPr>
        <w:t xml:space="preserve">E határokat </w:t>
      </w:r>
      <w:proofErr w:type="spellStart"/>
      <w:r w:rsidR="00F52D31" w:rsidRPr="00070A1E">
        <w:rPr>
          <w:rFonts w:ascii="Times New Roman" w:hAnsi="Times New Roman" w:cs="Times New Roman"/>
          <w:sz w:val="24"/>
        </w:rPr>
        <w:t>Atterberg</w:t>
      </w:r>
      <w:proofErr w:type="spellEnd"/>
      <w:r w:rsidR="00F52D31" w:rsidRPr="00070A1E">
        <w:rPr>
          <w:rFonts w:ascii="Times New Roman" w:hAnsi="Times New Roman" w:cs="Times New Roman"/>
          <w:sz w:val="24"/>
        </w:rPr>
        <w:t xml:space="preserve"> határoknak is nevezik, és értékük korrelációt mutat a fajlagos felülettel, ugyanis a nagyobb fajlagos felülettel rendelk</w:t>
      </w:r>
      <w:r w:rsidR="006E4204" w:rsidRPr="00070A1E">
        <w:rPr>
          <w:rFonts w:ascii="Times New Roman" w:hAnsi="Times New Roman" w:cs="Times New Roman"/>
          <w:sz w:val="24"/>
        </w:rPr>
        <w:t xml:space="preserve">ező talajok </w:t>
      </w:r>
      <w:proofErr w:type="spellStart"/>
      <w:r w:rsidR="006E4204" w:rsidRPr="00070A1E">
        <w:rPr>
          <w:rFonts w:ascii="Times New Roman" w:hAnsi="Times New Roman" w:cs="Times New Roman"/>
          <w:sz w:val="24"/>
        </w:rPr>
        <w:t>Atterberg</w:t>
      </w:r>
      <w:proofErr w:type="spellEnd"/>
      <w:r w:rsidR="006E4204" w:rsidRPr="00070A1E">
        <w:rPr>
          <w:rFonts w:ascii="Times New Roman" w:hAnsi="Times New Roman" w:cs="Times New Roman"/>
          <w:sz w:val="24"/>
        </w:rPr>
        <w:t xml:space="preserve"> határai</w:t>
      </w:r>
      <w:r w:rsidR="00F52D31" w:rsidRPr="00070A1E">
        <w:rPr>
          <w:rFonts w:ascii="Times New Roman" w:hAnsi="Times New Roman" w:cs="Times New Roman"/>
          <w:sz w:val="24"/>
        </w:rPr>
        <w:t xml:space="preserve"> magasabb %-os értékek.</w:t>
      </w:r>
      <w:proofErr w:type="gramEnd"/>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{"citationItems":[{"id":"ITEM-1","itemData":{"DOI":"10.1346/CCMN.2007.0550506","ISSN":"00098604","abstract":"As the water content is increased, the consistency of a fine-grained soil changes from a semi-solid state to a plastic state and finally to a liquid state. The plastic limit (PL) is the point at which the consistency, caused by the soil water content, is transformed from a semi-solid state to a plastic state. The liquid limit (LL) is the point at which the consistency is transformed from a plastic state to a liquid state. The plastic limit and liquid limit are often collectively referred to as the Atterberg (or consistency) Limits. Although the liquid and plastic limits are easily determined, fundamental interpretations of the limits and quantitative relationships between their values and compositional factors are more complex. Previous studies examined artificially-prepared soil samples that contained monomineralic clays and a non-clay substance (quartz sand). These studies have shown that in soils without expandable clays the PL and LL water contents were mostly related to surface area and clay content. For soils that contain expandable clays, the PL and LL values are also dependent on interlayer water content. Hence, expandable clay mineral contents are needed to calculate PL and LL values. These relationships have been presented in a general analytical form. The aim of these investigations was to identify practical applications. Mineral compositions and surface areas of five randomly selected natural soil samples were used to estimate PL and LL values. The estimated values were compared to experimentally measured liquid limits (by the 'fallcone' test) and plastic limit (by the 'rolling thread' test) values. The measured PL values ranged from 18.77 to 44.92% and the LL values from 31.19 to 82.10%. The differences between estimated and measured Atterberg Limits were 3.0-7.1 % for the PL and 2.7-7.8% for the LL. Minor differences in measured and estimated Atterberg Limits were probably due to soil organic matter (1.2-2.7%). Copyright © 2007, The Clay Minerals Society.","author":[{"dropping-particle":"","family":"Dolinar","given":"Bojana","non-dropping-particle":"","parse-names":false,"suffix":""},{"dropping-particle":"","family":"Mišič","given":"Miha","non-dropping-particle":"","parse-names":false,"suffix":""},{"dropping-particle":"","family":"Trauner","given":"Ludvik","non-dropping-particle":"","parse-names":false,"suffix":""}],"container-title":"Clays and Clay Minerals","id":"ITEM-1","issue":"5","issued":{"date-parts":[["2007"]]},"page":"519-523","title":"Correlation between surface area and Atterberg limits of fine-grained soils","type":"article-journal","volume":"55"},"uris":["http://www.mendeley.com/documents/?uuid=3c96c686-ccf9-4f22-8bd3-aa762dfefde8"]}],"mendeley":{"formattedCitation":"[11]","plainTextFormattedCitation":"[11]","previouslyFormattedCitation":"[11]"},"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[11]</w:t>
      </w:r>
      <w:r w:rsidR="001E0539" w:rsidRPr="00070A1E">
        <w:rPr>
          <w:rFonts w:ascii="Times New Roman" w:hAnsi="Times New Roman" w:cs="Times New Roman"/>
          <w:sz w:val="24"/>
        </w:rPr>
        <w:fldChar w:fldCharType="end"/>
      </w:r>
    </w:p>
    <w:p w:rsidR="00F52D31" w:rsidRPr="00070A1E" w:rsidRDefault="00F52D31" w:rsidP="008814FD">
      <w:pPr>
        <w:jc w:val="both"/>
        <w:rPr>
          <w:rFonts w:ascii="Times New Roman" w:hAnsi="Times New Roman" w:cs="Times New Roman"/>
          <w:sz w:val="24"/>
        </w:rPr>
      </w:pPr>
      <w:r w:rsidRPr="00070A1E">
        <w:rPr>
          <w:rFonts w:ascii="Times New Roman" w:hAnsi="Times New Roman" w:cs="Times New Roman"/>
          <w:sz w:val="24"/>
        </w:rPr>
        <w:tab/>
      </w:r>
      <w:proofErr w:type="gramStart"/>
      <w:r w:rsidRPr="00070A1E">
        <w:rPr>
          <w:rFonts w:ascii="Times New Roman" w:hAnsi="Times New Roman" w:cs="Times New Roman"/>
          <w:sz w:val="24"/>
        </w:rPr>
        <w:t xml:space="preserve">Agyagásványokat tartalmazó talajok esetében szintén </w:t>
      </w:r>
      <w:r w:rsidR="008038E1" w:rsidRPr="00070A1E">
        <w:rPr>
          <w:rFonts w:ascii="Times New Roman" w:hAnsi="Times New Roman" w:cs="Times New Roman"/>
          <w:sz w:val="24"/>
        </w:rPr>
        <w:t>korreláció</w:t>
      </w:r>
      <w:r w:rsidRPr="00070A1E">
        <w:rPr>
          <w:rFonts w:ascii="Times New Roman" w:hAnsi="Times New Roman" w:cs="Times New Roman"/>
          <w:sz w:val="24"/>
        </w:rPr>
        <w:t xml:space="preserve"> mutatható ki a kationcsere-kapacitás és a fajlagos felület között.</w:t>
      </w:r>
      <w:proofErr w:type="gramEnd"/>
      <w:r w:rsidRPr="00070A1E">
        <w:rPr>
          <w:rFonts w:ascii="Times New Roman" w:hAnsi="Times New Roman" w:cs="Times New Roman"/>
          <w:sz w:val="24"/>
        </w:rPr>
        <w:t xml:space="preserve"> </w:t>
      </w:r>
      <w:r w:rsidR="001E0539" w:rsidRPr="00070A1E">
        <w:rPr>
          <w:rFonts w:ascii="Times New Roman" w:hAnsi="Times New Roman" w:cs="Times New Roman"/>
          <w:sz w:val="24"/>
        </w:rPr>
        <w:fldChar w:fldCharType="begin" w:fldLock="1"/>
      </w:r>
      <w:r w:rsidR="006E4204" w:rsidRPr="00070A1E">
        <w:rPr>
          <w:rFonts w:ascii="Times New Roman" w:hAnsi="Times New Roman" w:cs="Times New Roman"/>
          <w:sz w:val="24"/>
        </w:rPr>
        <w:instrText>ADDIN CSL_CITATION {"citationItems":[{"id":"ITEM-1","itemData":{"DOI":"10.1007/978-90-481-3585-1_265","ISBN":"978-90-481-3585-1","author":[{"dropping-particle":"","family":"Sokołowska","given":"Zofia","non-dropping-particle":"","parse-names":false,"suffix":""}],"container-title":"Encyclopedia of Agrophysics","editor":[{"dropping-particle":"","family":"Gliński","given":"Jan","non-dropping-particle":"","parse-names":false,"suffix":""},{"dropping-particle":"","family":"Horabik","given":"Józef","non-dropping-particle":"","parse-names":false,"suffix":""},{"dropping-particle":"","family":"Lipiec","given":"Jerzy","non-dropping-particle":"","parse-names":false,"suffix":""}],"id":"ITEM-1","issued":{"date-parts":[["2011"]]},"page":"839-844","publisher":"Springer Netherlands","publisher-place":"Dordrecht","title":"Specific Surface Area of Soils and Plants","type":"chapter"},"uris":["http://www.mendeley.com/documents/?uuid=319e44b9-9068-479b-95c3-691aa380180e"]}],"mendeley":{"formattedCitation":"[7]","plainTextFormattedCitation":"[7]","previouslyFormattedCitation":"[7]"},"properties":{"noteIndex":0},"schema":"https://github.com/citation-style-language/schema/raw/master/csl-citation.json"}</w:instrText>
      </w:r>
      <w:r w:rsidR="001E0539" w:rsidRPr="00070A1E">
        <w:rPr>
          <w:rFonts w:ascii="Times New Roman" w:hAnsi="Times New Roman" w:cs="Times New Roman"/>
          <w:sz w:val="24"/>
        </w:rPr>
        <w:fldChar w:fldCharType="separate"/>
      </w:r>
      <w:r w:rsidR="007F2EB9" w:rsidRPr="00070A1E">
        <w:rPr>
          <w:rFonts w:ascii="Times New Roman" w:hAnsi="Times New Roman" w:cs="Times New Roman"/>
          <w:noProof/>
          <w:sz w:val="24"/>
        </w:rPr>
        <w:t>[7]</w:t>
      </w:r>
      <w:r w:rsidR="001E0539" w:rsidRPr="00070A1E">
        <w:rPr>
          <w:rFonts w:ascii="Times New Roman" w:hAnsi="Times New Roman" w:cs="Times New Roman"/>
          <w:sz w:val="24"/>
        </w:rPr>
        <w:fldChar w:fldCharType="end"/>
      </w:r>
      <w:r w:rsidRPr="00070A1E">
        <w:rPr>
          <w:rFonts w:ascii="Times New Roman" w:hAnsi="Times New Roman" w:cs="Times New Roman"/>
          <w:sz w:val="24"/>
        </w:rPr>
        <w:t xml:space="preserve"> Ez a </w:t>
      </w:r>
      <w:r w:rsidR="008038E1" w:rsidRPr="00070A1E">
        <w:rPr>
          <w:rFonts w:ascii="Times New Roman" w:hAnsi="Times New Roman" w:cs="Times New Roman"/>
          <w:sz w:val="24"/>
        </w:rPr>
        <w:t>kapcsolat</w:t>
      </w:r>
      <w:r w:rsidRPr="00070A1E">
        <w:rPr>
          <w:rFonts w:ascii="Times New Roman" w:hAnsi="Times New Roman" w:cs="Times New Roman"/>
          <w:sz w:val="24"/>
        </w:rPr>
        <w:t xml:space="preserve"> azonban nem közvetlen, ugyanis mind a </w:t>
      </w:r>
      <w:r w:rsidR="00E869E0" w:rsidRPr="00070A1E">
        <w:rPr>
          <w:rFonts w:ascii="Times New Roman" w:hAnsi="Times New Roman" w:cs="Times New Roman"/>
          <w:sz w:val="24"/>
        </w:rPr>
        <w:t>fajlagos</w:t>
      </w:r>
      <w:r w:rsidRPr="00070A1E">
        <w:rPr>
          <w:rFonts w:ascii="Times New Roman" w:hAnsi="Times New Roman" w:cs="Times New Roman"/>
          <w:sz w:val="24"/>
        </w:rPr>
        <w:t xml:space="preserve"> felület, mind pedig az ioncsere kapacitás az agyagásványok arányával nő</w:t>
      </w:r>
      <w:r w:rsidR="00E869E0" w:rsidRPr="00070A1E">
        <w:rPr>
          <w:rFonts w:ascii="Times New Roman" w:hAnsi="Times New Roman" w:cs="Times New Roman"/>
          <w:sz w:val="24"/>
        </w:rPr>
        <w:t>, és nem egymástól függenek közvetlenül.</w:t>
      </w:r>
    </w:p>
    <w:p w:rsidR="006E4204" w:rsidRPr="00070A1E" w:rsidRDefault="006E4204" w:rsidP="008814FD">
      <w:pPr>
        <w:rPr>
          <w:rFonts w:ascii="Times New Roman" w:hAnsi="Times New Roman" w:cs="Times New Roman"/>
          <w:sz w:val="24"/>
        </w:rPr>
      </w:pPr>
    </w:p>
    <w:p w:rsidR="00382806" w:rsidRPr="00070A1E" w:rsidRDefault="00A87ECB" w:rsidP="00382806">
      <w:pPr>
        <w:jc w:val="center"/>
        <w:rPr>
          <w:rFonts w:ascii="Times New Roman" w:hAnsi="Times New Roman" w:cs="Times New Roman"/>
          <w:b/>
          <w:sz w:val="24"/>
          <w:u w:val="single"/>
        </w:rPr>
      </w:pPr>
      <w:r w:rsidRPr="00070A1E">
        <w:rPr>
          <w:rFonts w:ascii="Times New Roman" w:hAnsi="Times New Roman" w:cs="Times New Roman"/>
          <w:b/>
          <w:sz w:val="24"/>
          <w:u w:val="single"/>
        </w:rPr>
        <w:t>P</w:t>
      </w:r>
      <w:r w:rsidR="00A119FF" w:rsidRPr="00070A1E">
        <w:rPr>
          <w:rFonts w:ascii="Times New Roman" w:hAnsi="Times New Roman" w:cs="Times New Roman"/>
          <w:b/>
          <w:sz w:val="24"/>
          <w:u w:val="single"/>
        </w:rPr>
        <w:t xml:space="preserve">orozitás és </w:t>
      </w:r>
      <w:proofErr w:type="spellStart"/>
      <w:r w:rsidR="00A119FF" w:rsidRPr="00070A1E">
        <w:rPr>
          <w:rFonts w:ascii="Times New Roman" w:hAnsi="Times New Roman" w:cs="Times New Roman"/>
          <w:b/>
          <w:sz w:val="24"/>
          <w:u w:val="single"/>
        </w:rPr>
        <w:t>pórsuméreteloszlás</w:t>
      </w:r>
      <w:proofErr w:type="spellEnd"/>
      <w:r w:rsidR="00A119FF" w:rsidRPr="00070A1E">
        <w:rPr>
          <w:rFonts w:ascii="Times New Roman" w:hAnsi="Times New Roman" w:cs="Times New Roman"/>
          <w:b/>
          <w:sz w:val="24"/>
          <w:u w:val="single"/>
        </w:rPr>
        <w:t xml:space="preserve"> hatása</w:t>
      </w:r>
    </w:p>
    <w:p w:rsidR="00382806" w:rsidRPr="00070A1E" w:rsidRDefault="00A87ECB" w:rsidP="00382806">
      <w:pPr>
        <w:ind w:firstLine="708"/>
        <w:jc w:val="both"/>
        <w:rPr>
          <w:rFonts w:ascii="Times New Roman" w:hAnsi="Times New Roman" w:cs="Times New Roman"/>
          <w:sz w:val="24"/>
        </w:rPr>
      </w:pPr>
      <w:r w:rsidRPr="00070A1E">
        <w:rPr>
          <w:rFonts w:ascii="Times New Roman" w:hAnsi="Times New Roman" w:cs="Times New Roman"/>
          <w:sz w:val="24"/>
        </w:rPr>
        <w:t xml:space="preserve">Gyakorlati szempontból fontos jellemző a talaj víztároló képessége, melyet elsődlegesen a </w:t>
      </w:r>
      <w:proofErr w:type="spellStart"/>
      <w:r w:rsidRPr="00070A1E">
        <w:rPr>
          <w:rFonts w:ascii="Times New Roman" w:hAnsi="Times New Roman" w:cs="Times New Roman"/>
          <w:sz w:val="24"/>
        </w:rPr>
        <w:t>pórusméreteloszlás</w:t>
      </w:r>
      <w:proofErr w:type="spellEnd"/>
      <w:r w:rsidRPr="00070A1E">
        <w:rPr>
          <w:rFonts w:ascii="Times New Roman" w:hAnsi="Times New Roman" w:cs="Times New Roman"/>
          <w:sz w:val="24"/>
        </w:rPr>
        <w:t xml:space="preserve"> határoz meg. Kisebb pórusokban a </w:t>
      </w:r>
      <w:proofErr w:type="gramStart"/>
      <w:r w:rsidRPr="00070A1E">
        <w:rPr>
          <w:rFonts w:ascii="Times New Roman" w:hAnsi="Times New Roman" w:cs="Times New Roman"/>
          <w:sz w:val="24"/>
        </w:rPr>
        <w:t>víz erősebben</w:t>
      </w:r>
      <w:proofErr w:type="gramEnd"/>
      <w:r w:rsidRPr="00070A1E">
        <w:rPr>
          <w:rFonts w:ascii="Times New Roman" w:hAnsi="Times New Roman" w:cs="Times New Roman"/>
          <w:sz w:val="24"/>
        </w:rPr>
        <w:t xml:space="preserve"> kötődik a felülethez, emiatt homokos talajok esetébe, ahol a szemcsék nem képeznek aggregátumokat, és kevesebb mikropórus található, a víztárolási kapacitás várhatóan jóval kisebb, mint agyagos talajok esetében.</w:t>
      </w:r>
      <w:r w:rsidR="004239B3" w:rsidRPr="00070A1E">
        <w:rPr>
          <w:rFonts w:ascii="Times New Roman" w:hAnsi="Times New Roman" w:cs="Times New Roman"/>
          <w:sz w:val="24"/>
        </w:rPr>
        <w:t xml:space="preserve"> Ennek mérése standardizált. Az egyik módszer szerint porózus kerámialapra helyezik a vízzel telített (de előzetesen szárazon lemért tömegű) mintát egy zárható berendezésben, majd meghatározott nyomást/vákuumot kapcsolnak rá. A nyomástól függően más-más mértékben fog a folyadék kifolyni a pórusok közül. Az egyensúly beállta után újra lemérik a tömegét. A víztárolási kapacitás a tárolt folyadék tömeg osztva a száraz minta tömegével. A módszer úgy is alkalmazható, hogy atmoszferikus nyomást használnak. A másik, ún. </w:t>
      </w:r>
      <w:proofErr w:type="gramStart"/>
      <w:r w:rsidR="004239B3" w:rsidRPr="00070A1E">
        <w:rPr>
          <w:rFonts w:ascii="Times New Roman" w:hAnsi="Times New Roman" w:cs="Times New Roman"/>
          <w:sz w:val="24"/>
        </w:rPr>
        <w:t>európai módszer szerint atmoszferikus nyomáson a vízzel telített mintát egy hengerben adszorbens membránra helyezik, és megvárják, míg beáll az egyensúly, végül lemérik a tömeget, és ebből számolnak kapacitást.</w:t>
      </w:r>
      <w:proofErr w:type="gramEnd"/>
      <w:r w:rsidR="00F72D3B" w:rsidRPr="00070A1E">
        <w:rPr>
          <w:rFonts w:ascii="Times New Roman" w:hAnsi="Times New Roman" w:cs="Times New Roman"/>
          <w:sz w:val="24"/>
        </w:rPr>
        <w:t xml:space="preserve"> </w:t>
      </w:r>
      <w:r w:rsidR="001E0539" w:rsidRPr="00070A1E">
        <w:rPr>
          <w:rFonts w:ascii="Times New Roman" w:hAnsi="Times New Roman" w:cs="Times New Roman"/>
          <w:sz w:val="24"/>
        </w:rPr>
        <w:fldChar w:fldCharType="begin" w:fldLock="1"/>
      </w:r>
      <w:r w:rsidR="001A206B" w:rsidRPr="00070A1E">
        <w:rPr>
          <w:rFonts w:ascii="Times New Roman" w:hAnsi="Times New Roman" w:cs="Times New Roman"/>
          <w:sz w:val="24"/>
        </w:rPr>
        <w:instrText>ADDIN CSL_CITATION {"citationItems":[{"id":"ITEM-1","itemData":{"URL":"https://www.agvise.com/educational-articles/water-holding-capacity/","accessed":{"date-parts":[["2019","11","8"]]},"id":"ITEM-1","issued":{"date-parts":[["0"]]},"title":"Agvise Laboratories honlapja","type":"webpage"},"uris":["http://www.mendeley.com/documents/?uuid=56070bae-c662-482b-a309-0b8d2834b3d0"]}],"mendeley":{"formattedCitation":"[16]","plainTextFormattedCitation":"[16]","previouslyFormattedCitation":"[16]"},"properties":{"noteIndex":0},"schema":"https://github.com/citation-style-language/schema/raw/master/csl-citation.json"}</w:instrText>
      </w:r>
      <w:r w:rsidR="001E0539" w:rsidRPr="00070A1E">
        <w:rPr>
          <w:rFonts w:ascii="Times New Roman" w:hAnsi="Times New Roman" w:cs="Times New Roman"/>
          <w:sz w:val="24"/>
        </w:rPr>
        <w:fldChar w:fldCharType="separate"/>
      </w:r>
      <w:r w:rsidR="00F72D3B" w:rsidRPr="00070A1E">
        <w:rPr>
          <w:rFonts w:ascii="Times New Roman" w:hAnsi="Times New Roman" w:cs="Times New Roman"/>
          <w:noProof/>
          <w:sz w:val="24"/>
        </w:rPr>
        <w:t>[16]</w:t>
      </w:r>
      <w:r w:rsidR="001E0539" w:rsidRPr="00070A1E">
        <w:rPr>
          <w:rFonts w:ascii="Times New Roman" w:hAnsi="Times New Roman" w:cs="Times New Roman"/>
          <w:sz w:val="24"/>
        </w:rPr>
        <w:fldChar w:fldCharType="end"/>
      </w:r>
      <w:r w:rsidR="00382806" w:rsidRPr="00070A1E">
        <w:rPr>
          <w:rFonts w:ascii="Times New Roman" w:hAnsi="Times New Roman" w:cs="Times New Roman"/>
          <w:sz w:val="24"/>
        </w:rPr>
        <w:t xml:space="preserve"> A víztárolási kapacitást alapvetően tehát a pórusméret eloszlás határozza meg, azonban a porozitás fogja megadni ennek a felső határát, hiszen a porozitás a teljes pórustérfogattól függ, ami pedig meghatározza, hogy maximálisan mennyi folyadékot képes tárolni a talaj.</w:t>
      </w:r>
      <w:r w:rsidR="00F72D3B" w:rsidRPr="00070A1E">
        <w:rPr>
          <w:rFonts w:ascii="Times New Roman" w:hAnsi="Times New Roman" w:cs="Times New Roman"/>
          <w:sz w:val="24"/>
        </w:rPr>
        <w:t xml:space="preserve"> </w:t>
      </w:r>
    </w:p>
    <w:p w:rsidR="00AB1754" w:rsidRPr="00070A1E" w:rsidRDefault="00AB1754" w:rsidP="00382806">
      <w:pPr>
        <w:ind w:firstLine="708"/>
        <w:jc w:val="both"/>
        <w:rPr>
          <w:rFonts w:ascii="Times New Roman" w:hAnsi="Times New Roman" w:cs="Times New Roman"/>
          <w:sz w:val="24"/>
        </w:rPr>
      </w:pPr>
      <w:r w:rsidRPr="00070A1E">
        <w:rPr>
          <w:rFonts w:ascii="Times New Roman" w:hAnsi="Times New Roman" w:cs="Times New Roman"/>
          <w:sz w:val="24"/>
        </w:rPr>
        <w:t xml:space="preserve">A víz pórusokban történő </w:t>
      </w:r>
      <w:r w:rsidR="00841121">
        <w:rPr>
          <w:rFonts w:ascii="Times New Roman" w:hAnsi="Times New Roman" w:cs="Times New Roman"/>
          <w:sz w:val="24"/>
        </w:rPr>
        <w:t>hidrodinamikai</w:t>
      </w:r>
      <w:r w:rsidRPr="00070A1E">
        <w:rPr>
          <w:rFonts w:ascii="Times New Roman" w:hAnsi="Times New Roman" w:cs="Times New Roman"/>
          <w:sz w:val="24"/>
        </w:rPr>
        <w:t xml:space="preserve"> tulajdonságait szintén meghatározza a pórusok mérete. Ennek jellemzésére az ún. hidraulikus vezetőképességet használják</w:t>
      </w:r>
      <w:r w:rsidR="00A24D7E" w:rsidRPr="00070A1E">
        <w:rPr>
          <w:rFonts w:ascii="Times New Roman" w:hAnsi="Times New Roman" w:cs="Times New Roman"/>
          <w:sz w:val="24"/>
        </w:rPr>
        <w:t>, ami a folyási sebesség és a hidraulikus nyomás gradiens hányadosa. Hosszú pórusok esetében (melyeknél a kapilláris hatások érvényesülnek) kimutatták, hogy a hidraulikus vezetőképesség nő az e pórusok által alkotott porozitás mértékének növekedésével.</w:t>
      </w:r>
      <w:r w:rsidR="00906120" w:rsidRPr="00070A1E">
        <w:rPr>
          <w:rFonts w:ascii="Times New Roman" w:hAnsi="Times New Roman" w:cs="Times New Roman"/>
          <w:sz w:val="24"/>
        </w:rPr>
        <w:t xml:space="preserve"> </w:t>
      </w:r>
      <w:proofErr w:type="gramStart"/>
      <w:r w:rsidR="00906120" w:rsidRPr="00070A1E">
        <w:rPr>
          <w:rFonts w:ascii="Times New Roman" w:hAnsi="Times New Roman" w:cs="Times New Roman"/>
          <w:sz w:val="24"/>
        </w:rPr>
        <w:t>Szintén növeli a vezetőképesség értékét a pórusméret növekedése.</w:t>
      </w:r>
      <w:proofErr w:type="gramEnd"/>
      <w:r w:rsidR="00A24D7E" w:rsidRPr="00070A1E">
        <w:rPr>
          <w:rFonts w:ascii="Times New Roman" w:hAnsi="Times New Roman" w:cs="Times New Roman"/>
          <w:sz w:val="24"/>
        </w:rPr>
        <w:t xml:space="preserve"> </w:t>
      </w:r>
      <w:r w:rsidR="001E0539" w:rsidRPr="00070A1E">
        <w:rPr>
          <w:rFonts w:ascii="Times New Roman" w:hAnsi="Times New Roman" w:cs="Times New Roman"/>
          <w:sz w:val="24"/>
        </w:rPr>
        <w:fldChar w:fldCharType="begin" w:fldLock="1"/>
      </w:r>
      <w:r w:rsidR="00F72D3B" w:rsidRPr="00070A1E">
        <w:rPr>
          <w:rFonts w:ascii="Times New Roman" w:hAnsi="Times New Roman" w:cs="Times New Roman"/>
          <w:sz w:val="24"/>
        </w:rPr>
        <w:instrText>ADDIN CSL_CITATION {"citationItems":[{"id":"ITEM-1","itemData":{"author":[{"dropping-particle":"","family":"Pagliai","given":"M","non-dropping-particle":"","parse-names":false,"suffix":""},{"dropping-particle":"","family":"Vignozzi","given":"Nadia","non-dropping-particle":"","parse-names":false,"suffix":""}],"container-title":"Advances in GeoEcology","id":"ITEM-1","issued":{"date-parts":[["2002"]]},"page":"71-82","title":"Soil pore system as an indicator of soil quality","type":"article-journal","volume":"35"},"uris":["http://www.mendeley.com/documents/?uuid=4e9aee11-c7e9-4d42-85f3-7a9dae2b61d3"]}],"mendeley":{"formattedCitation":"[17]","plainTextFormattedCitation":"[17]","previouslyFormattedCitation":"[17]"},"properties":{"noteIndex":0},"schema":"https://github.com/citation-style-language/schema/raw/master/csl-citation.json"}</w:instrText>
      </w:r>
      <w:r w:rsidR="001E0539" w:rsidRPr="00070A1E">
        <w:rPr>
          <w:rFonts w:ascii="Times New Roman" w:hAnsi="Times New Roman" w:cs="Times New Roman"/>
          <w:sz w:val="24"/>
        </w:rPr>
        <w:fldChar w:fldCharType="separate"/>
      </w:r>
      <w:r w:rsidR="00F72D3B" w:rsidRPr="00070A1E">
        <w:rPr>
          <w:rFonts w:ascii="Times New Roman" w:hAnsi="Times New Roman" w:cs="Times New Roman"/>
          <w:noProof/>
          <w:sz w:val="24"/>
        </w:rPr>
        <w:t>[17]</w:t>
      </w:r>
      <w:r w:rsidR="001E0539" w:rsidRPr="00070A1E">
        <w:rPr>
          <w:rFonts w:ascii="Times New Roman" w:hAnsi="Times New Roman" w:cs="Times New Roman"/>
          <w:sz w:val="24"/>
        </w:rPr>
        <w:fldChar w:fldCharType="end"/>
      </w:r>
      <w:r w:rsidR="00906120" w:rsidRPr="00070A1E">
        <w:rPr>
          <w:rFonts w:ascii="Times New Roman" w:hAnsi="Times New Roman" w:cs="Times New Roman"/>
          <w:sz w:val="24"/>
        </w:rPr>
        <w:t xml:space="preserve"> </w:t>
      </w:r>
    </w:p>
    <w:p w:rsidR="00A119FF" w:rsidRPr="00070A1E" w:rsidRDefault="00906120" w:rsidP="00BF318E">
      <w:pPr>
        <w:ind w:firstLine="708"/>
        <w:jc w:val="both"/>
        <w:rPr>
          <w:rFonts w:ascii="Times New Roman" w:hAnsi="Times New Roman" w:cs="Times New Roman"/>
          <w:sz w:val="24"/>
        </w:rPr>
      </w:pPr>
      <w:r w:rsidRPr="00070A1E">
        <w:rPr>
          <w:rFonts w:ascii="Times New Roman" w:hAnsi="Times New Roman" w:cs="Times New Roman"/>
          <w:sz w:val="24"/>
        </w:rPr>
        <w:t xml:space="preserve">A folyadéktranszport mellett az oldott anyag transzportjára is hatással van a pórusszerkezet. Általánosságban, a hidraulikus vezetőképesség növekedése az oldott anyag transzportjának a gyorsulásához vezet, azonban ebben az esetben különösen fontos szerep van a pórusméretnek. Kisebb pórusokban az oldott anyagok könnyebben adszorbeálódnak, mint </w:t>
      </w:r>
      <w:r w:rsidRPr="00070A1E">
        <w:rPr>
          <w:rFonts w:ascii="Times New Roman" w:hAnsi="Times New Roman" w:cs="Times New Roman"/>
          <w:sz w:val="24"/>
        </w:rPr>
        <w:lastRenderedPageBreak/>
        <w:t xml:space="preserve">nagy pórusokban, hosszabb lesz a tartózkodási ideje. </w:t>
      </w:r>
      <w:proofErr w:type="gramStart"/>
      <w:r w:rsidRPr="00070A1E">
        <w:rPr>
          <w:rFonts w:ascii="Times New Roman" w:hAnsi="Times New Roman" w:cs="Times New Roman"/>
          <w:sz w:val="24"/>
        </w:rPr>
        <w:t>Ez fontos a különböző tápanyagok és szennyezőanyagok transzportjának leírásakor.</w:t>
      </w:r>
      <w:proofErr w:type="gramEnd"/>
      <w:r w:rsidR="001E0539" w:rsidRPr="00070A1E">
        <w:rPr>
          <w:rFonts w:ascii="Times New Roman" w:hAnsi="Times New Roman" w:cs="Times New Roman"/>
          <w:sz w:val="24"/>
        </w:rPr>
        <w:fldChar w:fldCharType="begin" w:fldLock="1"/>
      </w:r>
      <w:r w:rsidR="007F2EB9" w:rsidRPr="00070A1E">
        <w:rPr>
          <w:rFonts w:ascii="Times New Roman" w:hAnsi="Times New Roman" w:cs="Times New Roman"/>
          <w:sz w:val="24"/>
        </w:rPr>
        <w:instrText>ADDIN CSL_CITATION {"citationItems":[{"id":"ITEM-1","itemData":{"DOI":"10.1016/B978-0-12-409548-9.05265-9","ISBN":"9780124095489","author":[{"dropping-particle":"","family":"Nimmo","given":"J R","non-dropping-particle":"","parse-names":false,"suffix":""},{"dropping-particle":"","family":"Survey","given":"U S Geological","non-dropping-particle":"","parse-names":false,"suffix":""},{"dropping-particle":"","family":"Park","given":"Menlo","non-dropping-particle":"","parse-names":false,"suffix":""}],"container-title":"Reference Module in Earth Systems and Environmental Sciences","id":"ITEM-1","issued":{"date-parts":[["2013"]]},"number-of-pages":"1-10","publisher":"Elsevier","title":"Porosity and Pore Size Distribution","type":"book"},"uris":["http://www.mendeley.com/documents/?uuid=adec52e0-42e7-4aba-8ad4-192e72003ee3"]}],"mendeley":{"formattedCitation":"[3]","plainTextFormattedCitation":"[3]","previouslyFormattedCitation":"[3]"},"properties":{"noteIndex":0},"schema":"https://github.com/citation-style-language/schema/raw/master/csl-citation.json"}</w:instrText>
      </w:r>
      <w:r w:rsidR="001E0539" w:rsidRPr="00070A1E">
        <w:rPr>
          <w:rFonts w:ascii="Times New Roman" w:hAnsi="Times New Roman" w:cs="Times New Roman"/>
          <w:sz w:val="24"/>
        </w:rPr>
        <w:fldChar w:fldCharType="separate"/>
      </w:r>
      <w:r w:rsidRPr="00070A1E">
        <w:rPr>
          <w:rFonts w:ascii="Times New Roman" w:hAnsi="Times New Roman" w:cs="Times New Roman"/>
          <w:noProof/>
          <w:sz w:val="24"/>
        </w:rPr>
        <w:t>[3]</w:t>
      </w:r>
      <w:r w:rsidR="001E0539" w:rsidRPr="00070A1E">
        <w:rPr>
          <w:rFonts w:ascii="Times New Roman" w:hAnsi="Times New Roman" w:cs="Times New Roman"/>
          <w:sz w:val="24"/>
        </w:rPr>
        <w:fldChar w:fldCharType="end"/>
      </w:r>
    </w:p>
    <w:p w:rsidR="001A206B" w:rsidRDefault="001A206B" w:rsidP="00BF318E">
      <w:pPr>
        <w:ind w:firstLine="708"/>
        <w:jc w:val="both"/>
        <w:rPr>
          <w:rFonts w:ascii="Times New Roman" w:hAnsi="Times New Roman" w:cs="Times New Roman"/>
          <w:sz w:val="24"/>
        </w:rPr>
      </w:pPr>
    </w:p>
    <w:p w:rsidR="00677810" w:rsidRDefault="00677810">
      <w:pPr>
        <w:rPr>
          <w:rFonts w:ascii="Times New Roman" w:hAnsi="Times New Roman" w:cs="Times New Roman"/>
          <w:sz w:val="24"/>
        </w:rPr>
      </w:pPr>
      <w:r>
        <w:rPr>
          <w:rFonts w:ascii="Times New Roman" w:hAnsi="Times New Roman" w:cs="Times New Roman"/>
          <w:sz w:val="24"/>
        </w:rPr>
        <w:br w:type="page"/>
      </w:r>
    </w:p>
    <w:p w:rsidR="001A206B" w:rsidRDefault="00677810" w:rsidP="00AC51B9">
      <w:pPr>
        <w:ind w:firstLine="708"/>
        <w:jc w:val="center"/>
        <w:rPr>
          <w:rFonts w:ascii="Times New Roman" w:hAnsi="Times New Roman" w:cs="Times New Roman"/>
          <w:b/>
          <w:sz w:val="28"/>
          <w:u w:val="single"/>
        </w:rPr>
      </w:pPr>
      <w:r w:rsidRPr="00677810">
        <w:rPr>
          <w:rFonts w:ascii="Times New Roman" w:hAnsi="Times New Roman" w:cs="Times New Roman"/>
          <w:b/>
          <w:sz w:val="28"/>
          <w:u w:val="single"/>
        </w:rPr>
        <w:lastRenderedPageBreak/>
        <w:t>Irodalomjegyzék</w:t>
      </w:r>
    </w:p>
    <w:p w:rsidR="00AC51B9" w:rsidRPr="00AC51B9" w:rsidRDefault="00AC51B9" w:rsidP="00AC51B9">
      <w:pPr>
        <w:ind w:firstLine="708"/>
        <w:jc w:val="center"/>
        <w:rPr>
          <w:rFonts w:ascii="Times New Roman" w:hAnsi="Times New Roman" w:cs="Times New Roman"/>
          <w:b/>
          <w:sz w:val="28"/>
          <w:u w:val="single"/>
        </w:rPr>
      </w:pPr>
    </w:p>
    <w:p w:rsidR="00816854" w:rsidRPr="00816854" w:rsidRDefault="001E0539"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AC51B9">
        <w:rPr>
          <w:rFonts w:ascii="Times New Roman" w:hAnsi="Times New Roman" w:cs="Times New Roman"/>
        </w:rPr>
        <w:fldChar w:fldCharType="begin" w:fldLock="1"/>
      </w:r>
      <w:r w:rsidR="001A206B" w:rsidRPr="00AC51B9">
        <w:rPr>
          <w:rFonts w:ascii="Times New Roman" w:hAnsi="Times New Roman" w:cs="Times New Roman"/>
        </w:rPr>
        <w:instrText xml:space="preserve">ADDIN Mendeley Bibliography CSL_BIBLIOGRAPHY </w:instrText>
      </w:r>
      <w:r w:rsidRPr="00AC51B9">
        <w:rPr>
          <w:rFonts w:ascii="Times New Roman" w:hAnsi="Times New Roman" w:cs="Times New Roman"/>
        </w:rPr>
        <w:fldChar w:fldCharType="separate"/>
      </w:r>
      <w:r w:rsidR="00816854" w:rsidRPr="00816854">
        <w:rPr>
          <w:rFonts w:ascii="Times New Roman" w:hAnsi="Times New Roman" w:cs="Times New Roman"/>
          <w:noProof/>
          <w:szCs w:val="24"/>
        </w:rPr>
        <w:t>[1]</w:t>
      </w:r>
      <w:r w:rsidR="00816854" w:rsidRPr="00816854">
        <w:rPr>
          <w:rFonts w:ascii="Times New Roman" w:hAnsi="Times New Roman" w:cs="Times New Roman"/>
          <w:noProof/>
          <w:szCs w:val="24"/>
        </w:rPr>
        <w:tab/>
        <w:t>“Soils Home Study Course,” 1999. [Online]. Available: https://passel.unl.edu/pages/informationmodule.php?idinformationmodule=1130447039&amp;topicorder=1&amp;maxto=10&amp;minto=1. [Accessed: 19-Oct-2019].</w:t>
      </w:r>
      <w:r w:rsidR="00424975">
        <w:rPr>
          <w:rFonts w:ascii="Times New Roman" w:hAnsi="Times New Roman" w:cs="Times New Roman"/>
          <w:noProof/>
          <w:szCs w:val="24"/>
        </w:rPr>
        <w:t xml:space="preserve"> </w:t>
      </w:r>
    </w:p>
    <w:p w:rsidR="00816854" w:rsidRPr="00816854" w:rsidRDefault="00816854" w:rsidP="00307E7B">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[2]</w:t>
      </w:r>
      <w:r w:rsidRPr="00816854">
        <w:rPr>
          <w:rFonts w:ascii="Times New Roman" w:hAnsi="Times New Roman" w:cs="Times New Roman"/>
          <w:noProof/>
          <w:szCs w:val="24"/>
        </w:rPr>
        <w:tab/>
        <w:t xml:space="preserve">B. Yaron, R. Calvet, and R. Prost, </w:t>
      </w:r>
      <w:r w:rsidRPr="00816854">
        <w:rPr>
          <w:rFonts w:ascii="Times New Roman" w:hAnsi="Times New Roman" w:cs="Times New Roman"/>
          <w:i/>
          <w:iCs/>
          <w:noProof/>
          <w:szCs w:val="24"/>
        </w:rPr>
        <w:t>Soil Pollution</w:t>
      </w:r>
      <w:r w:rsidRPr="00816854">
        <w:rPr>
          <w:rFonts w:ascii="Times New Roman" w:hAnsi="Times New Roman" w:cs="Times New Roman"/>
          <w:noProof/>
          <w:szCs w:val="24"/>
        </w:rPr>
        <w:t>. Berlin, Heidelberg: Springer Berlin Heidelberg, 1996.</w:t>
      </w:r>
      <w:r w:rsidR="009823F8">
        <w:rPr>
          <w:rFonts w:ascii="Times New Roman" w:hAnsi="Times New Roman" w:cs="Times New Roman"/>
          <w:noProof/>
          <w:szCs w:val="24"/>
        </w:rPr>
        <w:br/>
      </w:r>
      <w:r w:rsidR="00424975">
        <w:rPr>
          <w:rFonts w:ascii="Times New Roman" w:hAnsi="Times New Roman" w:cs="Times New Roman"/>
          <w:noProof/>
          <w:szCs w:val="24"/>
        </w:rPr>
        <w:t xml:space="preserve"> </w:t>
      </w:r>
      <w:r w:rsidR="00307004">
        <w:rPr>
          <w:rFonts w:ascii="Times New Roman" w:hAnsi="Times New Roman" w:cs="Times New Roman"/>
          <w:noProof/>
          <w:szCs w:val="24"/>
        </w:rPr>
        <w:object w:dxaOrig="15930" w:dyaOrig="8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29.5pt;height:31.3pt" o:ole="">
            <v:imagedata r:id="rId18" o:title=""/>
          </v:shape>
          <o:OLEObject Type="Embed" ProgID="Package" ShapeID="_x0000_i1025" DrawAspect="Content" ObjectID="_1634922319" r:id="rId19"/>
        </w:object>
      </w:r>
    </w:p>
    <w:p w:rsidR="00816854" w:rsidRPr="00816854" w:rsidRDefault="00816854" w:rsidP="00307E7B">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[3]</w:t>
      </w:r>
      <w:r w:rsidRPr="00816854">
        <w:rPr>
          <w:rFonts w:ascii="Times New Roman" w:hAnsi="Times New Roman" w:cs="Times New Roman"/>
          <w:noProof/>
          <w:szCs w:val="24"/>
        </w:rPr>
        <w:tab/>
        <w:t xml:space="preserve">J. R. Nimmo, U. S. G. Survey, and M. Park, </w:t>
      </w:r>
      <w:r w:rsidRPr="00816854">
        <w:rPr>
          <w:rFonts w:ascii="Times New Roman" w:hAnsi="Times New Roman" w:cs="Times New Roman"/>
          <w:i/>
          <w:iCs/>
          <w:noProof/>
          <w:szCs w:val="24"/>
        </w:rPr>
        <w:t>Porosity and Pore Size Distribution</w:t>
      </w:r>
      <w:r w:rsidRPr="00816854">
        <w:rPr>
          <w:rFonts w:ascii="Times New Roman" w:hAnsi="Times New Roman" w:cs="Times New Roman"/>
          <w:noProof/>
          <w:szCs w:val="24"/>
        </w:rPr>
        <w:t>. Elsevier, 2013.</w:t>
      </w:r>
      <w:r w:rsidR="007527A9">
        <w:rPr>
          <w:rFonts w:ascii="Times New Roman" w:hAnsi="Times New Roman" w:cs="Times New Roman"/>
          <w:noProof/>
          <w:szCs w:val="24"/>
        </w:rPr>
        <w:t xml:space="preserve"> </w:t>
      </w:r>
      <w:r w:rsidR="009823F8">
        <w:rPr>
          <w:rFonts w:ascii="Times New Roman" w:hAnsi="Times New Roman" w:cs="Times New Roman"/>
          <w:noProof/>
          <w:szCs w:val="24"/>
        </w:rPr>
        <w:br/>
      </w:r>
      <w:r w:rsidR="00307E7B">
        <w:rPr>
          <w:rFonts w:ascii="Times New Roman" w:hAnsi="Times New Roman" w:cs="Times New Roman"/>
          <w:noProof/>
          <w:szCs w:val="24"/>
        </w:rPr>
        <w:object w:dxaOrig="3705" w:dyaOrig="810">
          <v:shape id="_x0000_i1026" type="#_x0000_t75" style="width:162.8pt;height:35.7pt" o:ole="">
            <v:imagedata r:id="rId20" o:title=""/>
          </v:shape>
          <o:OLEObject Type="Embed" ProgID="Package" ShapeID="_x0000_i1026" DrawAspect="Content" ObjectID="_1634922320" r:id="rId21"/>
        </w:object>
      </w:r>
    </w:p>
    <w:p w:rsidR="00816854" w:rsidRPr="00816854" w:rsidRDefault="00816854" w:rsidP="00307E7B">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[4]</w:t>
      </w:r>
      <w:r w:rsidRPr="00816854">
        <w:rPr>
          <w:rFonts w:ascii="Times New Roman" w:hAnsi="Times New Roman" w:cs="Times New Roman"/>
          <w:noProof/>
          <w:szCs w:val="24"/>
        </w:rPr>
        <w:tab/>
        <w:t xml:space="preserve">M. Zaffar and S. G. Lu, “Pore size distribution of clayey soils and its correlation with soil organic matter,” </w:t>
      </w:r>
      <w:r w:rsidRPr="00816854">
        <w:rPr>
          <w:rFonts w:ascii="Times New Roman" w:hAnsi="Times New Roman" w:cs="Times New Roman"/>
          <w:i/>
          <w:iCs/>
          <w:noProof/>
          <w:szCs w:val="24"/>
        </w:rPr>
        <w:t>Pedosphere</w:t>
      </w:r>
      <w:r w:rsidRPr="00816854">
        <w:rPr>
          <w:rFonts w:ascii="Times New Roman" w:hAnsi="Times New Roman" w:cs="Times New Roman"/>
          <w:noProof/>
          <w:szCs w:val="24"/>
        </w:rPr>
        <w:t>, vol. 25, no. 2, pp. 240–249, 2015.</w:t>
      </w:r>
      <w:r w:rsidR="009823F8">
        <w:rPr>
          <w:rFonts w:ascii="Times New Roman" w:hAnsi="Times New Roman" w:cs="Times New Roman"/>
          <w:noProof/>
          <w:szCs w:val="24"/>
        </w:rPr>
        <w:br/>
      </w:r>
      <w:r w:rsidR="007527A9">
        <w:rPr>
          <w:rFonts w:ascii="Times New Roman" w:hAnsi="Times New Roman" w:cs="Times New Roman"/>
          <w:noProof/>
          <w:szCs w:val="24"/>
        </w:rPr>
        <w:t xml:space="preserve"> </w:t>
      </w:r>
      <w:r w:rsidR="00307E7B">
        <w:rPr>
          <w:rFonts w:ascii="Times New Roman" w:hAnsi="Times New Roman" w:cs="Times New Roman"/>
          <w:noProof/>
          <w:szCs w:val="24"/>
        </w:rPr>
        <w:object w:dxaOrig="1395" w:dyaOrig="810">
          <v:shape id="_x0000_i1027" type="#_x0000_t75" style="width:69.5pt;height:40.7pt" o:ole="">
            <v:imagedata r:id="rId22" o:title=""/>
          </v:shape>
          <o:OLEObject Type="Embed" ProgID="Package" ShapeID="_x0000_i1027" DrawAspect="Content" ObjectID="_1634922321" r:id="rId23"/>
        </w:object>
      </w: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[5]</w:t>
      </w:r>
      <w:r w:rsidRPr="00816854">
        <w:rPr>
          <w:rFonts w:ascii="Times New Roman" w:hAnsi="Times New Roman" w:cs="Times New Roman"/>
          <w:noProof/>
          <w:szCs w:val="24"/>
        </w:rPr>
        <w:tab/>
        <w:t xml:space="preserve">M. Pagliai, N. Vignozzi, and S. Pellegrini, “Soil structure and the effect of management practices,” </w:t>
      </w:r>
      <w:r w:rsidRPr="00816854">
        <w:rPr>
          <w:rFonts w:ascii="Times New Roman" w:hAnsi="Times New Roman" w:cs="Times New Roman"/>
          <w:i/>
          <w:iCs/>
          <w:noProof/>
          <w:szCs w:val="24"/>
        </w:rPr>
        <w:t>Soil Tillage Res.</w:t>
      </w:r>
      <w:r w:rsidRPr="00816854">
        <w:rPr>
          <w:rFonts w:ascii="Times New Roman" w:hAnsi="Times New Roman" w:cs="Times New Roman"/>
          <w:noProof/>
          <w:szCs w:val="24"/>
        </w:rPr>
        <w:t>, vol. 79, no. 2 SPEC.ISS., pp. 131–143, 2004.</w:t>
      </w:r>
      <w:r w:rsidR="009823F8">
        <w:rPr>
          <w:rFonts w:ascii="Times New Roman" w:hAnsi="Times New Roman" w:cs="Times New Roman"/>
          <w:noProof/>
          <w:szCs w:val="24"/>
        </w:rPr>
        <w:br/>
      </w:r>
      <w:r w:rsidR="007527A9">
        <w:rPr>
          <w:rFonts w:ascii="Times New Roman" w:hAnsi="Times New Roman" w:cs="Times New Roman"/>
          <w:noProof/>
          <w:szCs w:val="24"/>
        </w:rPr>
        <w:t xml:space="preserve"> </w:t>
      </w:r>
      <w:r w:rsidR="00307E7B">
        <w:rPr>
          <w:rFonts w:ascii="Times New Roman" w:hAnsi="Times New Roman" w:cs="Times New Roman"/>
          <w:noProof/>
          <w:szCs w:val="24"/>
        </w:rPr>
        <w:object w:dxaOrig="1515" w:dyaOrig="810">
          <v:shape id="_x0000_i1028" type="#_x0000_t75" style="width:75.75pt;height:40.7pt" o:ole="">
            <v:imagedata r:id="rId24" o:title=""/>
          </v:shape>
          <o:OLEObject Type="Embed" ProgID="Package" ShapeID="_x0000_i1028" DrawAspect="Content" ObjectID="_1634922322" r:id="rId25"/>
        </w:object>
      </w: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[6]</w:t>
      </w:r>
      <w:r w:rsidRPr="00816854">
        <w:rPr>
          <w:rFonts w:ascii="Times New Roman" w:hAnsi="Times New Roman" w:cs="Times New Roman"/>
          <w:noProof/>
          <w:szCs w:val="24"/>
        </w:rPr>
        <w:tab/>
        <w:t xml:space="preserve">S. Koptsik, L. Strand, and N. Clarke, “On the calculation of the surface area of different soil size fractions,” </w:t>
      </w:r>
      <w:r w:rsidRPr="00816854">
        <w:rPr>
          <w:rFonts w:ascii="Times New Roman" w:hAnsi="Times New Roman" w:cs="Times New Roman"/>
          <w:i/>
          <w:iCs/>
          <w:noProof/>
          <w:szCs w:val="24"/>
        </w:rPr>
        <w:t>Appl. Geochemistry</w:t>
      </w:r>
      <w:r w:rsidRPr="00816854">
        <w:rPr>
          <w:rFonts w:ascii="Times New Roman" w:hAnsi="Times New Roman" w:cs="Times New Roman"/>
          <w:noProof/>
          <w:szCs w:val="24"/>
        </w:rPr>
        <w:t>, vol. 18, no. 5, pp. 629–651, 2003.</w:t>
      </w:r>
      <w:r w:rsidR="009823F8">
        <w:rPr>
          <w:rFonts w:ascii="Times New Roman" w:hAnsi="Times New Roman" w:cs="Times New Roman"/>
          <w:noProof/>
          <w:szCs w:val="24"/>
        </w:rPr>
        <w:br/>
      </w:r>
      <w:r w:rsidR="00C819F0">
        <w:rPr>
          <w:rFonts w:ascii="Times New Roman" w:hAnsi="Times New Roman" w:cs="Times New Roman"/>
          <w:noProof/>
          <w:szCs w:val="24"/>
        </w:rPr>
        <w:t xml:space="preserve"> </w:t>
      </w:r>
      <w:r w:rsidR="00307E7B">
        <w:rPr>
          <w:rFonts w:ascii="Times New Roman" w:hAnsi="Times New Roman" w:cs="Times New Roman"/>
          <w:noProof/>
          <w:szCs w:val="24"/>
        </w:rPr>
        <w:object w:dxaOrig="1575" w:dyaOrig="810">
          <v:shape id="_x0000_i1029" type="#_x0000_t75" style="width:78.9pt;height:40.7pt" o:ole="">
            <v:imagedata r:id="rId26" o:title=""/>
          </v:shape>
          <o:OLEObject Type="Embed" ProgID="Package" ShapeID="_x0000_i1029" DrawAspect="Content" ObjectID="_1634922323" r:id="rId27"/>
        </w:object>
      </w: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[7]</w:t>
      </w:r>
      <w:r w:rsidRPr="00816854">
        <w:rPr>
          <w:rFonts w:ascii="Times New Roman" w:hAnsi="Times New Roman" w:cs="Times New Roman"/>
          <w:noProof/>
          <w:szCs w:val="24"/>
        </w:rPr>
        <w:tab/>
        <w:t xml:space="preserve">Z. Sokołowska, “Specific Surface Area of Soils and Plants,” in </w:t>
      </w:r>
      <w:r w:rsidRPr="00816854">
        <w:rPr>
          <w:rFonts w:ascii="Times New Roman" w:hAnsi="Times New Roman" w:cs="Times New Roman"/>
          <w:i/>
          <w:iCs/>
          <w:noProof/>
          <w:szCs w:val="24"/>
        </w:rPr>
        <w:t>Encyclopedia of Agrophysics</w:t>
      </w:r>
      <w:r w:rsidRPr="00816854">
        <w:rPr>
          <w:rFonts w:ascii="Times New Roman" w:hAnsi="Times New Roman" w:cs="Times New Roman"/>
          <w:noProof/>
          <w:szCs w:val="24"/>
        </w:rPr>
        <w:t>, J. Gliński, J. Horabik, and J. Lipiec, Eds. Dordrecht: Springer Netherlands, 2011, pp. 839–844.</w:t>
      </w:r>
      <w:r w:rsidR="00C819F0">
        <w:rPr>
          <w:rFonts w:ascii="Times New Roman" w:hAnsi="Times New Roman" w:cs="Times New Roman"/>
          <w:noProof/>
          <w:szCs w:val="24"/>
        </w:rPr>
        <w:t xml:space="preserve"> </w:t>
      </w:r>
      <w:r w:rsidR="009823F8">
        <w:rPr>
          <w:rFonts w:ascii="Times New Roman" w:hAnsi="Times New Roman" w:cs="Times New Roman"/>
          <w:noProof/>
          <w:szCs w:val="24"/>
        </w:rPr>
        <w:br/>
      </w:r>
      <w:r w:rsidR="00307E7B">
        <w:rPr>
          <w:rFonts w:ascii="Times New Roman" w:hAnsi="Times New Roman" w:cs="Times New Roman"/>
          <w:noProof/>
          <w:szCs w:val="24"/>
        </w:rPr>
        <w:object w:dxaOrig="6315" w:dyaOrig="810">
          <v:shape id="_x0000_i1030" type="#_x0000_t75" style="width:315.55pt;height:40.7pt" o:ole="">
            <v:imagedata r:id="rId28" o:title=""/>
          </v:shape>
          <o:OLEObject Type="Embed" ProgID="Package" ShapeID="_x0000_i1030" DrawAspect="Content" ObjectID="_1634922324" r:id="rId29"/>
        </w:object>
      </w: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[8]</w:t>
      </w:r>
      <w:r w:rsidRPr="00816854">
        <w:rPr>
          <w:rFonts w:ascii="Times New Roman" w:hAnsi="Times New Roman" w:cs="Times New Roman"/>
          <w:noProof/>
          <w:szCs w:val="24"/>
        </w:rPr>
        <w:tab/>
        <w:t xml:space="preserve">K. D. Pennell, “Specific Surface Area,” in </w:t>
      </w:r>
      <w:r w:rsidRPr="00816854">
        <w:rPr>
          <w:rFonts w:ascii="Times New Roman" w:hAnsi="Times New Roman" w:cs="Times New Roman"/>
          <w:i/>
          <w:iCs/>
          <w:noProof/>
          <w:szCs w:val="24"/>
        </w:rPr>
        <w:t>Reference Module in Earth Systems and Environmental Sciences</w:t>
      </w:r>
      <w:r w:rsidRPr="00816854">
        <w:rPr>
          <w:rFonts w:ascii="Times New Roman" w:hAnsi="Times New Roman" w:cs="Times New Roman"/>
          <w:noProof/>
          <w:szCs w:val="24"/>
        </w:rPr>
        <w:t>, no. March 2016, Elsevier, 2016, pp. 1–8.</w:t>
      </w:r>
      <w:r w:rsidR="009823F8">
        <w:rPr>
          <w:rFonts w:ascii="Times New Roman" w:hAnsi="Times New Roman" w:cs="Times New Roman"/>
          <w:noProof/>
          <w:szCs w:val="24"/>
        </w:rPr>
        <w:br/>
      </w:r>
      <w:r w:rsidR="00C819F0">
        <w:rPr>
          <w:rFonts w:ascii="Times New Roman" w:hAnsi="Times New Roman" w:cs="Times New Roman"/>
          <w:noProof/>
          <w:szCs w:val="24"/>
        </w:rPr>
        <w:t xml:space="preserve"> </w:t>
      </w:r>
      <w:r w:rsidR="00307E7B">
        <w:rPr>
          <w:rFonts w:ascii="Times New Roman" w:hAnsi="Times New Roman" w:cs="Times New Roman"/>
          <w:noProof/>
          <w:szCs w:val="24"/>
        </w:rPr>
        <w:object w:dxaOrig="1590" w:dyaOrig="810">
          <v:shape id="_x0000_i1031" type="#_x0000_t75" style="width:79.5pt;height:40.7pt" o:ole="">
            <v:imagedata r:id="rId30" o:title=""/>
          </v:shape>
          <o:OLEObject Type="Embed" ProgID="Package" ShapeID="_x0000_i1031" DrawAspect="Content" ObjectID="_1634922325" r:id="rId31"/>
        </w:object>
      </w:r>
    </w:p>
    <w:p w:rsid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[9]</w:t>
      </w:r>
      <w:r w:rsidRPr="00816854">
        <w:rPr>
          <w:rFonts w:ascii="Times New Roman" w:hAnsi="Times New Roman" w:cs="Times New Roman"/>
          <w:noProof/>
          <w:szCs w:val="24"/>
        </w:rPr>
        <w:tab/>
        <w:t xml:space="preserve">K. Heister, “The measurement of the specific surface area of soils by gas and polar liquid adsorption methods-limitations and potentials,” </w:t>
      </w:r>
      <w:r w:rsidRPr="00816854">
        <w:rPr>
          <w:rFonts w:ascii="Times New Roman" w:hAnsi="Times New Roman" w:cs="Times New Roman"/>
          <w:i/>
          <w:iCs/>
          <w:noProof/>
          <w:szCs w:val="24"/>
        </w:rPr>
        <w:t>Geoderma</w:t>
      </w:r>
      <w:r w:rsidRPr="00816854">
        <w:rPr>
          <w:rFonts w:ascii="Times New Roman" w:hAnsi="Times New Roman" w:cs="Times New Roman"/>
          <w:noProof/>
          <w:szCs w:val="24"/>
        </w:rPr>
        <w:t>, vol. 216, pp. 75–87, 2014.</w:t>
      </w:r>
      <w:r w:rsidR="009823F8">
        <w:rPr>
          <w:rFonts w:ascii="Times New Roman" w:hAnsi="Times New Roman" w:cs="Times New Roman"/>
          <w:noProof/>
          <w:szCs w:val="24"/>
        </w:rPr>
        <w:br/>
        <w:t xml:space="preserve"> </w:t>
      </w:r>
      <w:r w:rsidR="00307E7B">
        <w:rPr>
          <w:rFonts w:ascii="Times New Roman" w:hAnsi="Times New Roman" w:cs="Times New Roman"/>
          <w:noProof/>
          <w:szCs w:val="24"/>
        </w:rPr>
        <w:object w:dxaOrig="1515" w:dyaOrig="810">
          <v:shape id="_x0000_i1032" type="#_x0000_t75" style="width:75.75pt;height:40.7pt" o:ole="">
            <v:imagedata r:id="rId32" o:title=""/>
          </v:shape>
          <o:OLEObject Type="Embed" ProgID="Package" ShapeID="_x0000_i1032" DrawAspect="Content" ObjectID="_1634922326" r:id="rId33"/>
        </w:object>
      </w:r>
    </w:p>
    <w:p w:rsidR="00307E7B" w:rsidRPr="00816854" w:rsidRDefault="00307E7B" w:rsidP="009823F8">
      <w:pPr>
        <w:widowControl w:val="0"/>
        <w:autoSpaceDE w:val="0"/>
        <w:autoSpaceDN w:val="0"/>
        <w:adjustRightInd w:val="0"/>
        <w:spacing w:line="240" w:lineRule="auto"/>
        <w:ind w:left="426" w:hanging="426"/>
        <w:rPr>
          <w:rFonts w:ascii="Times New Roman" w:hAnsi="Times New Roman" w:cs="Times New Roman"/>
          <w:noProof/>
          <w:szCs w:val="24"/>
        </w:rPr>
      </w:pP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lastRenderedPageBreak/>
        <w:t>[10]</w:t>
      </w:r>
      <w:r w:rsidRPr="00816854">
        <w:rPr>
          <w:rFonts w:ascii="Times New Roman" w:hAnsi="Times New Roman" w:cs="Times New Roman"/>
          <w:noProof/>
          <w:szCs w:val="24"/>
        </w:rPr>
        <w:tab/>
        <w:t xml:space="preserve">K. László, </w:t>
      </w:r>
      <w:r w:rsidRPr="00816854">
        <w:rPr>
          <w:rFonts w:ascii="Times New Roman" w:hAnsi="Times New Roman" w:cs="Times New Roman"/>
          <w:i/>
          <w:iCs/>
          <w:noProof/>
          <w:szCs w:val="24"/>
        </w:rPr>
        <w:t>Felületek Fizikai Kémiája</w:t>
      </w:r>
      <w:r w:rsidRPr="00816854">
        <w:rPr>
          <w:rFonts w:ascii="Times New Roman" w:hAnsi="Times New Roman" w:cs="Times New Roman"/>
          <w:noProof/>
          <w:szCs w:val="24"/>
        </w:rPr>
        <w:t>. Budapest: Typotex Kiadó, 2011.</w:t>
      </w:r>
      <w:r w:rsidR="009823F8">
        <w:rPr>
          <w:rFonts w:ascii="Times New Roman" w:hAnsi="Times New Roman" w:cs="Times New Roman"/>
          <w:noProof/>
          <w:szCs w:val="24"/>
        </w:rPr>
        <w:t xml:space="preserve"> </w:t>
      </w:r>
    </w:p>
    <w:p w:rsid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[11]</w:t>
      </w:r>
      <w:r w:rsidRPr="00816854">
        <w:rPr>
          <w:rFonts w:ascii="Times New Roman" w:hAnsi="Times New Roman" w:cs="Times New Roman"/>
          <w:noProof/>
          <w:szCs w:val="24"/>
        </w:rPr>
        <w:tab/>
        <w:t xml:space="preserve">B. Dolinar, M. Mišič, and L. Trauner, “Correlation between surface area and Atterberg limits of fine-grained soils,” </w:t>
      </w:r>
      <w:r w:rsidRPr="00816854">
        <w:rPr>
          <w:rFonts w:ascii="Times New Roman" w:hAnsi="Times New Roman" w:cs="Times New Roman"/>
          <w:i/>
          <w:iCs/>
          <w:noProof/>
          <w:szCs w:val="24"/>
        </w:rPr>
        <w:t>Clays Clay Miner.</w:t>
      </w:r>
      <w:r w:rsidRPr="00816854">
        <w:rPr>
          <w:rFonts w:ascii="Times New Roman" w:hAnsi="Times New Roman" w:cs="Times New Roman"/>
          <w:noProof/>
          <w:szCs w:val="24"/>
        </w:rPr>
        <w:t>, vol. 55, no. 5, pp. 519–523, 2007.</w:t>
      </w:r>
      <w:r w:rsidR="009823F8">
        <w:rPr>
          <w:rFonts w:ascii="Times New Roman" w:hAnsi="Times New Roman" w:cs="Times New Roman"/>
          <w:noProof/>
          <w:szCs w:val="24"/>
        </w:rPr>
        <w:br/>
        <w:t xml:space="preserve"> </w:t>
      </w:r>
      <w:r w:rsidR="00307E7B">
        <w:rPr>
          <w:rFonts w:ascii="Times New Roman" w:hAnsi="Times New Roman" w:cs="Times New Roman"/>
          <w:noProof/>
          <w:szCs w:val="24"/>
        </w:rPr>
        <w:object w:dxaOrig="1545" w:dyaOrig="810">
          <v:shape id="_x0000_i1033" type="#_x0000_t75" style="width:77pt;height:40.7pt" o:ole="">
            <v:imagedata r:id="rId34" o:title=""/>
          </v:shape>
          <o:OLEObject Type="Embed" ProgID="Package" ShapeID="_x0000_i1033" DrawAspect="Content" ObjectID="_1634922327" r:id="rId35"/>
        </w:object>
      </w:r>
    </w:p>
    <w:p w:rsidR="009823F8" w:rsidRPr="00816854" w:rsidRDefault="009823F8" w:rsidP="009823F8">
      <w:pPr>
        <w:widowControl w:val="0"/>
        <w:autoSpaceDE w:val="0"/>
        <w:autoSpaceDN w:val="0"/>
        <w:adjustRightInd w:val="0"/>
        <w:spacing w:line="240" w:lineRule="auto"/>
        <w:ind w:left="426" w:hanging="426"/>
        <w:rPr>
          <w:rFonts w:ascii="Times New Roman" w:hAnsi="Times New Roman" w:cs="Times New Roman"/>
          <w:noProof/>
          <w:szCs w:val="24"/>
        </w:rPr>
      </w:pPr>
    </w:p>
    <w:p w:rsid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[12]</w:t>
      </w:r>
      <w:r w:rsidRPr="00816854">
        <w:rPr>
          <w:rFonts w:ascii="Times New Roman" w:hAnsi="Times New Roman" w:cs="Times New Roman"/>
          <w:noProof/>
          <w:szCs w:val="24"/>
        </w:rPr>
        <w:tab/>
        <w:t xml:space="preserve">M. T. Barral, M. Arias, and J. Guérif, “Effects of iron and organic matter on the porosity and structural stability of soil aggregates,” </w:t>
      </w:r>
      <w:r w:rsidRPr="00816854">
        <w:rPr>
          <w:rFonts w:ascii="Times New Roman" w:hAnsi="Times New Roman" w:cs="Times New Roman"/>
          <w:i/>
          <w:iCs/>
          <w:noProof/>
          <w:szCs w:val="24"/>
        </w:rPr>
        <w:t>Soil Tillage Res.</w:t>
      </w:r>
      <w:r w:rsidRPr="00816854">
        <w:rPr>
          <w:rFonts w:ascii="Times New Roman" w:hAnsi="Times New Roman" w:cs="Times New Roman"/>
          <w:noProof/>
          <w:szCs w:val="24"/>
        </w:rPr>
        <w:t>, vol. 46, no. 3–4, pp. 261–272, 1998.</w:t>
      </w:r>
      <w:r w:rsidR="009823F8">
        <w:rPr>
          <w:rFonts w:ascii="Times New Roman" w:hAnsi="Times New Roman" w:cs="Times New Roman"/>
          <w:noProof/>
          <w:szCs w:val="24"/>
        </w:rPr>
        <w:t xml:space="preserve"> </w:t>
      </w:r>
      <w:r w:rsidR="00307E7B">
        <w:rPr>
          <w:rFonts w:ascii="Times New Roman" w:hAnsi="Times New Roman" w:cs="Times New Roman"/>
          <w:noProof/>
          <w:szCs w:val="24"/>
        </w:rPr>
        <w:object w:dxaOrig="1425" w:dyaOrig="810">
          <v:shape id="_x0000_i1034" type="#_x0000_t75" style="width:71.35pt;height:40.7pt" o:ole="">
            <v:imagedata r:id="rId36" o:title=""/>
          </v:shape>
          <o:OLEObject Type="Embed" ProgID="Package" ShapeID="_x0000_i1034" DrawAspect="Content" ObjectID="_1634922328" r:id="rId37"/>
        </w:object>
      </w:r>
    </w:p>
    <w:p w:rsidR="009823F8" w:rsidRPr="00816854" w:rsidRDefault="009823F8" w:rsidP="009823F8">
      <w:pPr>
        <w:widowControl w:val="0"/>
        <w:autoSpaceDE w:val="0"/>
        <w:autoSpaceDN w:val="0"/>
        <w:adjustRightInd w:val="0"/>
        <w:spacing w:line="240" w:lineRule="auto"/>
        <w:ind w:left="426" w:hanging="426"/>
        <w:rPr>
          <w:rFonts w:ascii="Times New Roman" w:hAnsi="Times New Roman" w:cs="Times New Roman"/>
          <w:noProof/>
          <w:szCs w:val="24"/>
        </w:rPr>
      </w:pP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[13]</w:t>
      </w:r>
      <w:r w:rsidRPr="00816854">
        <w:rPr>
          <w:rFonts w:ascii="Times New Roman" w:hAnsi="Times New Roman" w:cs="Times New Roman"/>
          <w:noProof/>
          <w:szCs w:val="24"/>
        </w:rPr>
        <w:tab/>
        <w:t xml:space="preserve">E. E. Miller and R. D. Miller, “Physical theory for capillary flow phenomena,” </w:t>
      </w:r>
      <w:r w:rsidRPr="00816854">
        <w:rPr>
          <w:rFonts w:ascii="Times New Roman" w:hAnsi="Times New Roman" w:cs="Times New Roman"/>
          <w:i/>
          <w:iCs/>
          <w:noProof/>
          <w:szCs w:val="24"/>
        </w:rPr>
        <w:t>J. Appl. Phys.</w:t>
      </w:r>
      <w:r w:rsidRPr="00816854">
        <w:rPr>
          <w:rFonts w:ascii="Times New Roman" w:hAnsi="Times New Roman" w:cs="Times New Roman"/>
          <w:noProof/>
          <w:szCs w:val="24"/>
        </w:rPr>
        <w:t>, vol. 27, no. 4, pp. 324–332, 1956.</w:t>
      </w:r>
      <w:r w:rsidR="009823F8">
        <w:rPr>
          <w:rFonts w:ascii="Times New Roman" w:hAnsi="Times New Roman" w:cs="Times New Roman"/>
          <w:noProof/>
          <w:szCs w:val="24"/>
        </w:rPr>
        <w:br/>
      </w:r>
      <w:r w:rsidR="00307E7B">
        <w:rPr>
          <w:rFonts w:ascii="Times New Roman" w:hAnsi="Times New Roman" w:cs="Times New Roman"/>
          <w:noProof/>
          <w:szCs w:val="24"/>
        </w:rPr>
        <w:object w:dxaOrig="1425" w:dyaOrig="810">
          <v:shape id="_x0000_i1035" type="#_x0000_t75" style="width:71.35pt;height:40.7pt" o:ole="">
            <v:imagedata r:id="rId38" o:title=""/>
          </v:shape>
          <o:OLEObject Type="Embed" ProgID="Package" ShapeID="_x0000_i1035" DrawAspect="Content" ObjectID="_1634922329" r:id="rId39"/>
        </w:object>
      </w: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[14]</w:t>
      </w:r>
      <w:r w:rsidRPr="00816854">
        <w:rPr>
          <w:rFonts w:ascii="Times New Roman" w:hAnsi="Times New Roman" w:cs="Times New Roman"/>
          <w:noProof/>
          <w:szCs w:val="24"/>
        </w:rPr>
        <w:tab/>
        <w:t xml:space="preserve">G. Bodner, D. Leitner, and H. P. Kaul, “Coarse and fine root plants affect pore size distributions differently,” </w:t>
      </w:r>
      <w:r w:rsidRPr="00816854">
        <w:rPr>
          <w:rFonts w:ascii="Times New Roman" w:hAnsi="Times New Roman" w:cs="Times New Roman"/>
          <w:i/>
          <w:iCs/>
          <w:noProof/>
          <w:szCs w:val="24"/>
        </w:rPr>
        <w:t>Plant Soil</w:t>
      </w:r>
      <w:r w:rsidRPr="00816854">
        <w:rPr>
          <w:rFonts w:ascii="Times New Roman" w:hAnsi="Times New Roman" w:cs="Times New Roman"/>
          <w:noProof/>
          <w:szCs w:val="24"/>
        </w:rPr>
        <w:t>, vol. 380, no. 1, pp. 133–151, 2014.</w:t>
      </w:r>
      <w:r w:rsidR="009823F8">
        <w:rPr>
          <w:rFonts w:ascii="Times New Roman" w:hAnsi="Times New Roman" w:cs="Times New Roman"/>
          <w:noProof/>
          <w:szCs w:val="24"/>
        </w:rPr>
        <w:br/>
        <w:t xml:space="preserve"> </w:t>
      </w:r>
      <w:r w:rsidR="00307E7B">
        <w:rPr>
          <w:rFonts w:ascii="Times New Roman" w:hAnsi="Times New Roman" w:cs="Times New Roman"/>
          <w:noProof/>
          <w:szCs w:val="24"/>
        </w:rPr>
        <w:object w:dxaOrig="1575" w:dyaOrig="810">
          <v:shape id="_x0000_i1036" type="#_x0000_t75" style="width:78.9pt;height:40.7pt" o:ole="">
            <v:imagedata r:id="rId40" o:title=""/>
          </v:shape>
          <o:OLEObject Type="Embed" ProgID="Package" ShapeID="_x0000_i1036" DrawAspect="Content" ObjectID="_1634922330" r:id="rId41"/>
        </w:object>
      </w: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[15]</w:t>
      </w:r>
      <w:r w:rsidRPr="00816854">
        <w:rPr>
          <w:rFonts w:ascii="Times New Roman" w:hAnsi="Times New Roman" w:cs="Times New Roman"/>
          <w:noProof/>
          <w:szCs w:val="24"/>
        </w:rPr>
        <w:tab/>
        <w:t xml:space="preserve">K. B. Faur and S. Imre, </w:t>
      </w:r>
      <w:r w:rsidRPr="00816854">
        <w:rPr>
          <w:rFonts w:ascii="Times New Roman" w:hAnsi="Times New Roman" w:cs="Times New Roman"/>
          <w:i/>
          <w:iCs/>
          <w:noProof/>
          <w:szCs w:val="24"/>
        </w:rPr>
        <w:t>Geotechnika</w:t>
      </w:r>
      <w:r w:rsidRPr="00816854">
        <w:rPr>
          <w:rFonts w:ascii="Times New Roman" w:hAnsi="Times New Roman" w:cs="Times New Roman"/>
          <w:noProof/>
          <w:szCs w:val="24"/>
        </w:rPr>
        <w:t>. Miskolc: Miksolci Egyetem Földtudományi Kar, 2011.</w:t>
      </w:r>
      <w:r w:rsidR="009823F8">
        <w:rPr>
          <w:rFonts w:ascii="Times New Roman" w:hAnsi="Times New Roman" w:cs="Times New Roman"/>
          <w:noProof/>
          <w:szCs w:val="24"/>
        </w:rPr>
        <w:t xml:space="preserve"> (URL:</w:t>
      </w:r>
      <w:r w:rsidR="009823F8" w:rsidRPr="009823F8">
        <w:t xml:space="preserve"> </w:t>
      </w:r>
      <w:hyperlink r:id="rId42" w:history="1">
        <w:r w:rsidR="009823F8">
          <w:rPr>
            <w:rStyle w:val="Hiperhivatkozs"/>
          </w:rPr>
          <w:t>https://www.tankonyvtar.hu/hu/tartalom/tamop425/0033_SCORM_MFKHT6504SI/sco_00_01.htm</w:t>
        </w:r>
      </w:hyperlink>
      <w:r w:rsidR="009823F8">
        <w:t>)</w:t>
      </w:r>
      <w:r w:rsidR="009823F8">
        <w:rPr>
          <w:rFonts w:ascii="Times New Roman" w:hAnsi="Times New Roman" w:cs="Times New Roman"/>
          <w:noProof/>
          <w:szCs w:val="24"/>
        </w:rPr>
        <w:t xml:space="preserve"> </w:t>
      </w: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szCs w:val="24"/>
        </w:rPr>
      </w:pPr>
      <w:r w:rsidRPr="00816854">
        <w:rPr>
          <w:rFonts w:ascii="Times New Roman" w:hAnsi="Times New Roman" w:cs="Times New Roman"/>
          <w:noProof/>
          <w:szCs w:val="24"/>
        </w:rPr>
        <w:t>[16]</w:t>
      </w:r>
      <w:r w:rsidRPr="00816854">
        <w:rPr>
          <w:rFonts w:ascii="Times New Roman" w:hAnsi="Times New Roman" w:cs="Times New Roman"/>
          <w:noProof/>
          <w:szCs w:val="24"/>
        </w:rPr>
        <w:tab/>
        <w:t>“Agvise Laboratories honlapja.” [Online]. Available: https://www.agvise.com/educational-articles/water-holding-capacity/. [Accessed: 08-Nov-2019].</w:t>
      </w:r>
    </w:p>
    <w:p w:rsidR="00816854" w:rsidRPr="00816854" w:rsidRDefault="00816854" w:rsidP="009823F8">
      <w:pPr>
        <w:widowControl w:val="0"/>
        <w:autoSpaceDE w:val="0"/>
        <w:autoSpaceDN w:val="0"/>
        <w:adjustRightInd w:val="0"/>
        <w:spacing w:line="240" w:lineRule="auto"/>
        <w:ind w:left="426" w:hanging="426"/>
        <w:rPr>
          <w:rFonts w:ascii="Times New Roman" w:hAnsi="Times New Roman" w:cs="Times New Roman"/>
          <w:noProof/>
        </w:rPr>
      </w:pPr>
      <w:r w:rsidRPr="00816854">
        <w:rPr>
          <w:rFonts w:ascii="Times New Roman" w:hAnsi="Times New Roman" w:cs="Times New Roman"/>
          <w:noProof/>
          <w:szCs w:val="24"/>
        </w:rPr>
        <w:t>[17]</w:t>
      </w:r>
      <w:r w:rsidRPr="00816854">
        <w:rPr>
          <w:rFonts w:ascii="Times New Roman" w:hAnsi="Times New Roman" w:cs="Times New Roman"/>
          <w:noProof/>
          <w:szCs w:val="24"/>
        </w:rPr>
        <w:tab/>
        <w:t xml:space="preserve">M. Pagliai and N. Vignozzi, “Soil pore system as an indicator of soil quality,” </w:t>
      </w:r>
      <w:r w:rsidRPr="00816854">
        <w:rPr>
          <w:rFonts w:ascii="Times New Roman" w:hAnsi="Times New Roman" w:cs="Times New Roman"/>
          <w:i/>
          <w:iCs/>
          <w:noProof/>
          <w:szCs w:val="24"/>
        </w:rPr>
        <w:t>Adv. GeoEcology</w:t>
      </w:r>
      <w:r w:rsidRPr="00816854">
        <w:rPr>
          <w:rFonts w:ascii="Times New Roman" w:hAnsi="Times New Roman" w:cs="Times New Roman"/>
          <w:noProof/>
          <w:szCs w:val="24"/>
        </w:rPr>
        <w:t>, vol. 35, pp. 71–82, 2002.</w:t>
      </w:r>
      <w:r w:rsidR="009823F8">
        <w:rPr>
          <w:rFonts w:ascii="Times New Roman" w:hAnsi="Times New Roman" w:cs="Times New Roman"/>
          <w:noProof/>
          <w:szCs w:val="24"/>
        </w:rPr>
        <w:t xml:space="preserve"> </w:t>
      </w:r>
      <w:r w:rsidR="009823F8">
        <w:rPr>
          <w:rFonts w:ascii="Times New Roman" w:hAnsi="Times New Roman" w:cs="Times New Roman"/>
          <w:noProof/>
          <w:szCs w:val="24"/>
        </w:rPr>
        <w:br/>
      </w:r>
      <w:r w:rsidR="00307E7B">
        <w:rPr>
          <w:rFonts w:ascii="Times New Roman" w:hAnsi="Times New Roman" w:cs="Times New Roman"/>
          <w:noProof/>
        </w:rPr>
        <w:object w:dxaOrig="2220" w:dyaOrig="810">
          <v:shape id="_x0000_i1037" type="#_x0000_t75" style="width:110.8pt;height:40.7pt" o:ole="">
            <v:imagedata r:id="rId43" o:title=""/>
          </v:shape>
          <o:OLEObject Type="Embed" ProgID="Package" ShapeID="_x0000_i1037" DrawAspect="Content" ObjectID="_1634922331" r:id="rId44"/>
        </w:object>
      </w:r>
    </w:p>
    <w:p w:rsidR="001A206B" w:rsidRDefault="001E0539" w:rsidP="00816854">
      <w:pPr>
        <w:widowControl w:val="0"/>
        <w:autoSpaceDE w:val="0"/>
        <w:autoSpaceDN w:val="0"/>
        <w:adjustRightInd w:val="0"/>
        <w:spacing w:line="240" w:lineRule="auto"/>
        <w:ind w:left="640" w:hanging="640"/>
        <w:rPr>
          <w:rFonts w:ascii="Times New Roman" w:hAnsi="Times New Roman" w:cs="Times New Roman"/>
        </w:rPr>
      </w:pPr>
      <w:r w:rsidRPr="00AC51B9">
        <w:rPr>
          <w:rFonts w:ascii="Times New Roman" w:hAnsi="Times New Roman" w:cs="Times New Roman"/>
        </w:rPr>
        <w:fldChar w:fldCharType="end"/>
      </w:r>
    </w:p>
    <w:p w:rsidR="00424975" w:rsidRDefault="00424975" w:rsidP="00816854">
      <w:pPr>
        <w:widowControl w:val="0"/>
        <w:autoSpaceDE w:val="0"/>
        <w:autoSpaceDN w:val="0"/>
        <w:adjustRightInd w:val="0"/>
        <w:spacing w:line="240" w:lineRule="auto"/>
        <w:ind w:left="640" w:hanging="640"/>
        <w:rPr>
          <w:rFonts w:ascii="Times New Roman" w:hAnsi="Times New Roman" w:cs="Times New Roman"/>
        </w:rPr>
      </w:pPr>
    </w:p>
    <w:p w:rsidR="00424975" w:rsidRPr="00070A1E" w:rsidRDefault="00424975" w:rsidP="00816854">
      <w:pPr>
        <w:widowControl w:val="0"/>
        <w:autoSpaceDE w:val="0"/>
        <w:autoSpaceDN w:val="0"/>
        <w:adjustRightInd w:val="0"/>
        <w:spacing w:line="240" w:lineRule="auto"/>
        <w:ind w:left="640" w:hanging="640"/>
        <w:rPr>
          <w:rFonts w:ascii="Times New Roman" w:hAnsi="Times New Roman" w:cs="Times New Roman"/>
          <w:sz w:val="24"/>
        </w:rPr>
      </w:pPr>
    </w:p>
    <w:sectPr w:rsidR="00424975" w:rsidRPr="00070A1E" w:rsidSect="00677810">
      <w:pgSz w:w="11906" w:h="16838"/>
      <w:pgMar w:top="1417" w:right="1417" w:bottom="1417" w:left="1417" w:header="708" w:footer="708" w:gutter="0"/>
      <w:pgNumType w:start="1"/>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4424B0" w:rsidRDefault="004424B0" w:rsidP="0067287D">
      <w:pPr>
        <w:spacing w:after="0" w:line="240" w:lineRule="auto"/>
      </w:pPr>
      <w:r>
        <w:separator/>
      </w:r>
    </w:p>
  </w:endnote>
  <w:endnote w:type="continuationSeparator" w:id="0">
    <w:p w:rsidR="004424B0" w:rsidRDefault="004424B0" w:rsidP="0067287D">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EE"/>
    <w:family w:val="swiss"/>
    <w:pitch w:val="variable"/>
    <w:sig w:usb0="E4002EFF" w:usb1="C000247B" w:usb2="00000009" w:usb3="00000000" w:csb0="000001FF" w:csb1="00000000"/>
  </w:font>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notTrueType/>
    <w:pitch w:val="variable"/>
    <w:sig w:usb0="00000003" w:usb1="00000000" w:usb2="00000000" w:usb3="00000000" w:csb0="00000001" w:csb1="00000000"/>
  </w:font>
  <w:font w:name="Cambria Math">
    <w:panose1 w:val="02040503050406030204"/>
    <w:charset w:val="EE"/>
    <w:family w:val="roman"/>
    <w:pitch w:val="variable"/>
    <w:sig w:usb0="E00006FF" w:usb1="420024FF" w:usb2="02000000" w:usb3="00000000" w:csb0="0000019F" w:csb1="00000000"/>
  </w:font>
  <w:font w:name="Cambria">
    <w:panose1 w:val="02040503050406030204"/>
    <w:charset w:val="EE"/>
    <w:family w:val="roman"/>
    <w:pitch w:val="variable"/>
    <w:sig w:usb0="E00006FF" w:usb1="420024FF" w:usb2="02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2124639116"/>
      <w:docPartObj>
        <w:docPartGallery w:val="Page Numbers (Bottom of Page)"/>
        <w:docPartUnique/>
      </w:docPartObj>
    </w:sdtPr>
    <w:sdtContent>
      <w:p w:rsidR="00677810" w:rsidRDefault="001E0539">
        <w:pPr>
          <w:pStyle w:val="llb"/>
          <w:jc w:val="center"/>
        </w:pPr>
        <w:fldSimple w:instr=" PAGE   \* MERGEFORMAT ">
          <w:r w:rsidR="00307E7B">
            <w:rPr>
              <w:noProof/>
            </w:rPr>
            <w:t>14</w:t>
          </w:r>
        </w:fldSimple>
      </w:p>
    </w:sdtContent>
  </w:sdt>
  <w:p w:rsidR="006E4204" w:rsidRDefault="006E4204">
    <w:pPr>
      <w:pStyle w:val="llb"/>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677810" w:rsidRDefault="00677810">
    <w:pPr>
      <w:pStyle w:val="llb"/>
    </w:pPr>
  </w:p>
  <w:p w:rsidR="00677810" w:rsidRDefault="00677810">
    <w:pPr>
      <w:pStyle w:val="llb"/>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4424B0" w:rsidRDefault="004424B0" w:rsidP="0067287D">
      <w:pPr>
        <w:spacing w:after="0" w:line="240" w:lineRule="auto"/>
      </w:pPr>
      <w:r>
        <w:separator/>
      </w:r>
    </w:p>
  </w:footnote>
  <w:footnote w:type="continuationSeparator" w:id="0">
    <w:p w:rsidR="004424B0" w:rsidRDefault="004424B0" w:rsidP="0067287D">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C7B4D74"/>
    <w:multiLevelType w:val="hybridMultilevel"/>
    <w:tmpl w:val="14A8B5B8"/>
    <w:lvl w:ilvl="0" w:tplc="A894D1B2">
      <w:start w:val="2"/>
      <w:numFmt w:val="bullet"/>
      <w:lvlText w:val="-"/>
      <w:lvlJc w:val="left"/>
      <w:pPr>
        <w:ind w:left="720" w:hanging="360"/>
      </w:pPr>
      <w:rPr>
        <w:rFonts w:ascii="Calibri" w:eastAsiaTheme="minorHAns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1">
    <w:nsid w:val="1D0B6E15"/>
    <w:multiLevelType w:val="hybridMultilevel"/>
    <w:tmpl w:val="EDD47FDE"/>
    <w:lvl w:ilvl="0" w:tplc="040E000F">
      <w:start w:val="1"/>
      <w:numFmt w:val="decimal"/>
      <w:lvlText w:val="%1."/>
      <w:lvlJc w:val="left"/>
      <w:pPr>
        <w:ind w:left="720" w:hanging="360"/>
      </w:pPr>
      <w:rPr>
        <w:rFonts w:hint="default"/>
      </w:rPr>
    </w:lvl>
    <w:lvl w:ilvl="1" w:tplc="040E0019">
      <w:start w:val="1"/>
      <w:numFmt w:val="lowerLetter"/>
      <w:lvlText w:val="%2."/>
      <w:lvlJc w:val="left"/>
      <w:pPr>
        <w:ind w:left="1440" w:hanging="360"/>
      </w:pPr>
    </w:lvl>
    <w:lvl w:ilvl="2" w:tplc="040E001B">
      <w:start w:val="1"/>
      <w:numFmt w:val="lowerRoman"/>
      <w:lvlText w:val="%3."/>
      <w:lvlJc w:val="right"/>
      <w:pPr>
        <w:ind w:left="2160" w:hanging="180"/>
      </w:pPr>
    </w:lvl>
    <w:lvl w:ilvl="3" w:tplc="3E2ECDD0">
      <w:start w:val="1"/>
      <w:numFmt w:val="decimal"/>
      <w:lvlText w:val="%4)"/>
      <w:lvlJc w:val="left"/>
      <w:pPr>
        <w:ind w:left="2880" w:hanging="360"/>
      </w:pPr>
      <w:rPr>
        <w:rFonts w:hint="default"/>
      </w:rPr>
    </w:lvl>
    <w:lvl w:ilvl="4" w:tplc="E514CC7A">
      <w:start w:val="1"/>
      <w:numFmt w:val="upperLetter"/>
      <w:lvlText w:val="%5)"/>
      <w:lvlJc w:val="left"/>
      <w:pPr>
        <w:ind w:left="3600" w:hanging="360"/>
      </w:pPr>
      <w:rPr>
        <w:rFonts w:hint="default"/>
      </w:rPr>
    </w:lvl>
    <w:lvl w:ilvl="5" w:tplc="040E001B">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nsid w:val="321D32C6"/>
    <w:multiLevelType w:val="hybridMultilevel"/>
    <w:tmpl w:val="8C20361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3">
    <w:nsid w:val="5D44365F"/>
    <w:multiLevelType w:val="hybridMultilevel"/>
    <w:tmpl w:val="B4A47C34"/>
    <w:lvl w:ilvl="0" w:tplc="A6EE79A2">
      <w:start w:val="2"/>
      <w:numFmt w:val="bullet"/>
      <w:lvlText w:val="-"/>
      <w:lvlJc w:val="left"/>
      <w:pPr>
        <w:ind w:left="720" w:hanging="360"/>
      </w:pPr>
      <w:rPr>
        <w:rFonts w:ascii="Calibri" w:eastAsiaTheme="minorHAnsi" w:hAnsi="Calibri" w:cs="Calibri"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nsid w:val="5DBB1543"/>
    <w:multiLevelType w:val="hybridMultilevel"/>
    <w:tmpl w:val="DD70AC30"/>
    <w:lvl w:ilvl="0" w:tplc="7192542E">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5">
    <w:nsid w:val="62592AEE"/>
    <w:multiLevelType w:val="hybridMultilevel"/>
    <w:tmpl w:val="8C203610"/>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6">
    <w:nsid w:val="657A42D2"/>
    <w:multiLevelType w:val="hybridMultilevel"/>
    <w:tmpl w:val="DD70AC30"/>
    <w:lvl w:ilvl="0" w:tplc="7192542E">
      <w:start w:val="1"/>
      <w:numFmt w:val="upperLetter"/>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7">
    <w:nsid w:val="6C053E9D"/>
    <w:multiLevelType w:val="hybridMultilevel"/>
    <w:tmpl w:val="5F7477D8"/>
    <w:lvl w:ilvl="0" w:tplc="19286288">
      <w:start w:val="2"/>
      <w:numFmt w:val="bullet"/>
      <w:lvlText w:val="-"/>
      <w:lvlJc w:val="left"/>
      <w:pPr>
        <w:ind w:left="786" w:hanging="360"/>
      </w:pPr>
      <w:rPr>
        <w:rFonts w:ascii="Calibri" w:eastAsiaTheme="minorHAnsi" w:hAnsi="Calibri" w:cs="Calibri" w:hint="default"/>
      </w:rPr>
    </w:lvl>
    <w:lvl w:ilvl="1" w:tplc="040E0003" w:tentative="1">
      <w:start w:val="1"/>
      <w:numFmt w:val="bullet"/>
      <w:lvlText w:val="o"/>
      <w:lvlJc w:val="left"/>
      <w:pPr>
        <w:ind w:left="1506" w:hanging="360"/>
      </w:pPr>
      <w:rPr>
        <w:rFonts w:ascii="Courier New" w:hAnsi="Courier New" w:cs="Courier New" w:hint="default"/>
      </w:rPr>
    </w:lvl>
    <w:lvl w:ilvl="2" w:tplc="040E0005" w:tentative="1">
      <w:start w:val="1"/>
      <w:numFmt w:val="bullet"/>
      <w:lvlText w:val=""/>
      <w:lvlJc w:val="left"/>
      <w:pPr>
        <w:ind w:left="2226" w:hanging="360"/>
      </w:pPr>
      <w:rPr>
        <w:rFonts w:ascii="Wingdings" w:hAnsi="Wingdings" w:hint="default"/>
      </w:rPr>
    </w:lvl>
    <w:lvl w:ilvl="3" w:tplc="040E0001" w:tentative="1">
      <w:start w:val="1"/>
      <w:numFmt w:val="bullet"/>
      <w:lvlText w:val=""/>
      <w:lvlJc w:val="left"/>
      <w:pPr>
        <w:ind w:left="2946" w:hanging="360"/>
      </w:pPr>
      <w:rPr>
        <w:rFonts w:ascii="Symbol" w:hAnsi="Symbol" w:hint="default"/>
      </w:rPr>
    </w:lvl>
    <w:lvl w:ilvl="4" w:tplc="040E0003" w:tentative="1">
      <w:start w:val="1"/>
      <w:numFmt w:val="bullet"/>
      <w:lvlText w:val="o"/>
      <w:lvlJc w:val="left"/>
      <w:pPr>
        <w:ind w:left="3666" w:hanging="360"/>
      </w:pPr>
      <w:rPr>
        <w:rFonts w:ascii="Courier New" w:hAnsi="Courier New" w:cs="Courier New" w:hint="default"/>
      </w:rPr>
    </w:lvl>
    <w:lvl w:ilvl="5" w:tplc="040E0005" w:tentative="1">
      <w:start w:val="1"/>
      <w:numFmt w:val="bullet"/>
      <w:lvlText w:val=""/>
      <w:lvlJc w:val="left"/>
      <w:pPr>
        <w:ind w:left="4386" w:hanging="360"/>
      </w:pPr>
      <w:rPr>
        <w:rFonts w:ascii="Wingdings" w:hAnsi="Wingdings" w:hint="default"/>
      </w:rPr>
    </w:lvl>
    <w:lvl w:ilvl="6" w:tplc="040E0001" w:tentative="1">
      <w:start w:val="1"/>
      <w:numFmt w:val="bullet"/>
      <w:lvlText w:val=""/>
      <w:lvlJc w:val="left"/>
      <w:pPr>
        <w:ind w:left="5106" w:hanging="360"/>
      </w:pPr>
      <w:rPr>
        <w:rFonts w:ascii="Symbol" w:hAnsi="Symbol" w:hint="default"/>
      </w:rPr>
    </w:lvl>
    <w:lvl w:ilvl="7" w:tplc="040E0003" w:tentative="1">
      <w:start w:val="1"/>
      <w:numFmt w:val="bullet"/>
      <w:lvlText w:val="o"/>
      <w:lvlJc w:val="left"/>
      <w:pPr>
        <w:ind w:left="5826" w:hanging="360"/>
      </w:pPr>
      <w:rPr>
        <w:rFonts w:ascii="Courier New" w:hAnsi="Courier New" w:cs="Courier New" w:hint="default"/>
      </w:rPr>
    </w:lvl>
    <w:lvl w:ilvl="8" w:tplc="040E0005" w:tentative="1">
      <w:start w:val="1"/>
      <w:numFmt w:val="bullet"/>
      <w:lvlText w:val=""/>
      <w:lvlJc w:val="left"/>
      <w:pPr>
        <w:ind w:left="6546" w:hanging="360"/>
      </w:pPr>
      <w:rPr>
        <w:rFonts w:ascii="Wingdings" w:hAnsi="Wingdings" w:hint="default"/>
      </w:rPr>
    </w:lvl>
  </w:abstractNum>
  <w:abstractNum w:abstractNumId="8">
    <w:nsid w:val="7F6F1415"/>
    <w:multiLevelType w:val="hybridMultilevel"/>
    <w:tmpl w:val="A9604A4C"/>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1"/>
  </w:num>
  <w:num w:numId="2">
    <w:abstractNumId w:val="2"/>
  </w:num>
  <w:num w:numId="3">
    <w:abstractNumId w:val="5"/>
  </w:num>
  <w:num w:numId="4">
    <w:abstractNumId w:val="8"/>
  </w:num>
  <w:num w:numId="5">
    <w:abstractNumId w:val="6"/>
  </w:num>
  <w:num w:numId="6">
    <w:abstractNumId w:val="4"/>
  </w:num>
  <w:num w:numId="7">
    <w:abstractNumId w:val="7"/>
  </w:num>
  <w:num w:numId="8">
    <w:abstractNumId w:val="3"/>
  </w:num>
  <w:num w:numId="9">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20"/>
  <w:proofState w:spelling="clean" w:grammar="clean"/>
  <w:defaultTabStop w:val="708"/>
  <w:hyphenationZone w:val="425"/>
  <w:drawingGridHorizontalSpacing w:val="110"/>
  <w:displayHorizontalDrawingGridEvery w:val="2"/>
  <w:characterSpacingControl w:val="doNotCompress"/>
  <w:hdrShapeDefaults>
    <o:shapedefaults v:ext="edit" spidmax="25602"/>
  </w:hdrShapeDefaults>
  <w:footnotePr>
    <w:footnote w:id="-1"/>
    <w:footnote w:id="0"/>
  </w:footnotePr>
  <w:endnotePr>
    <w:endnote w:id="-1"/>
    <w:endnote w:id="0"/>
  </w:endnotePr>
  <w:compat/>
  <w:rsids>
    <w:rsidRoot w:val="006E6540"/>
    <w:rsid w:val="000101A8"/>
    <w:rsid w:val="00020B0F"/>
    <w:rsid w:val="00023372"/>
    <w:rsid w:val="00051E01"/>
    <w:rsid w:val="00070A1E"/>
    <w:rsid w:val="0008166F"/>
    <w:rsid w:val="00085058"/>
    <w:rsid w:val="00094042"/>
    <w:rsid w:val="000B0D13"/>
    <w:rsid w:val="000D11C3"/>
    <w:rsid w:val="000D4246"/>
    <w:rsid w:val="0013764B"/>
    <w:rsid w:val="00160FA7"/>
    <w:rsid w:val="001A206B"/>
    <w:rsid w:val="001A2DD7"/>
    <w:rsid w:val="001E0539"/>
    <w:rsid w:val="00234373"/>
    <w:rsid w:val="00247560"/>
    <w:rsid w:val="0027130F"/>
    <w:rsid w:val="00287BA2"/>
    <w:rsid w:val="002C1A14"/>
    <w:rsid w:val="002C4FC2"/>
    <w:rsid w:val="002E575E"/>
    <w:rsid w:val="002F1F92"/>
    <w:rsid w:val="002F2B05"/>
    <w:rsid w:val="002F6593"/>
    <w:rsid w:val="00307004"/>
    <w:rsid w:val="00307E7B"/>
    <w:rsid w:val="00323C1C"/>
    <w:rsid w:val="003364BC"/>
    <w:rsid w:val="00382806"/>
    <w:rsid w:val="00395ED3"/>
    <w:rsid w:val="004239B3"/>
    <w:rsid w:val="00424975"/>
    <w:rsid w:val="004424B0"/>
    <w:rsid w:val="004819EC"/>
    <w:rsid w:val="004A128E"/>
    <w:rsid w:val="004A3830"/>
    <w:rsid w:val="004A6956"/>
    <w:rsid w:val="004C4921"/>
    <w:rsid w:val="0059029C"/>
    <w:rsid w:val="005A166B"/>
    <w:rsid w:val="00627264"/>
    <w:rsid w:val="00646250"/>
    <w:rsid w:val="00664C30"/>
    <w:rsid w:val="006678B5"/>
    <w:rsid w:val="0067287D"/>
    <w:rsid w:val="00677810"/>
    <w:rsid w:val="006A139D"/>
    <w:rsid w:val="006E4204"/>
    <w:rsid w:val="006E6540"/>
    <w:rsid w:val="00747945"/>
    <w:rsid w:val="007527A9"/>
    <w:rsid w:val="0078551E"/>
    <w:rsid w:val="007A6287"/>
    <w:rsid w:val="007C5648"/>
    <w:rsid w:val="007F28E5"/>
    <w:rsid w:val="007F2EB9"/>
    <w:rsid w:val="008038E1"/>
    <w:rsid w:val="00816854"/>
    <w:rsid w:val="00841121"/>
    <w:rsid w:val="00841F55"/>
    <w:rsid w:val="00880904"/>
    <w:rsid w:val="008814FD"/>
    <w:rsid w:val="008B4555"/>
    <w:rsid w:val="008D5F0A"/>
    <w:rsid w:val="00906120"/>
    <w:rsid w:val="00934492"/>
    <w:rsid w:val="00957C0C"/>
    <w:rsid w:val="00963E1F"/>
    <w:rsid w:val="009823F8"/>
    <w:rsid w:val="00995CD7"/>
    <w:rsid w:val="009C13E2"/>
    <w:rsid w:val="00A03607"/>
    <w:rsid w:val="00A07075"/>
    <w:rsid w:val="00A119FF"/>
    <w:rsid w:val="00A2161D"/>
    <w:rsid w:val="00A24D7E"/>
    <w:rsid w:val="00A7548A"/>
    <w:rsid w:val="00A87ECB"/>
    <w:rsid w:val="00AB1754"/>
    <w:rsid w:val="00AC51B9"/>
    <w:rsid w:val="00AE6B75"/>
    <w:rsid w:val="00B13D08"/>
    <w:rsid w:val="00B6750F"/>
    <w:rsid w:val="00B840C7"/>
    <w:rsid w:val="00BB7C97"/>
    <w:rsid w:val="00BC675C"/>
    <w:rsid w:val="00BD3E87"/>
    <w:rsid w:val="00BF26A2"/>
    <w:rsid w:val="00BF318E"/>
    <w:rsid w:val="00C06550"/>
    <w:rsid w:val="00C12848"/>
    <w:rsid w:val="00C819F0"/>
    <w:rsid w:val="00C84BC5"/>
    <w:rsid w:val="00C9406D"/>
    <w:rsid w:val="00CD68AC"/>
    <w:rsid w:val="00CD7021"/>
    <w:rsid w:val="00CF149F"/>
    <w:rsid w:val="00D55B9F"/>
    <w:rsid w:val="00D7577E"/>
    <w:rsid w:val="00D80226"/>
    <w:rsid w:val="00D815DB"/>
    <w:rsid w:val="00D97F0C"/>
    <w:rsid w:val="00E038C7"/>
    <w:rsid w:val="00E357B2"/>
    <w:rsid w:val="00E442E9"/>
    <w:rsid w:val="00E539F7"/>
    <w:rsid w:val="00E869E0"/>
    <w:rsid w:val="00EF6BB4"/>
    <w:rsid w:val="00F0147F"/>
    <w:rsid w:val="00F0707F"/>
    <w:rsid w:val="00F52D31"/>
    <w:rsid w:val="00F56CE1"/>
    <w:rsid w:val="00F701B1"/>
    <w:rsid w:val="00F718CE"/>
    <w:rsid w:val="00F72D3B"/>
    <w:rsid w:val="00F75037"/>
    <w:rsid w:val="00F82D03"/>
    <w:rsid w:val="00F94AD6"/>
    <w:rsid w:val="00F94E11"/>
    <w:rsid w:val="00FA2214"/>
    <w:rsid w:val="00FB0798"/>
  </w:rsids>
  <m:mathPr>
    <m:mathFont m:val="Cambria Math"/>
    <m:brkBin m:val="before"/>
    <m:brkBinSub m:val="--"/>
    <m:smallFrac m:val="off"/>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5602"/>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hu-H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l">
    <w:name w:val="Normal"/>
    <w:qFormat/>
    <w:rsid w:val="00E442E9"/>
  </w:style>
  <w:style w:type="character" w:default="1" w:styleId="Bekezdsalapbettpusa">
    <w:name w:val="Default Paragraph Font"/>
    <w:uiPriority w:val="1"/>
    <w:semiHidden/>
    <w:unhideWhenUsed/>
  </w:style>
  <w:style w:type="table" w:default="1" w:styleId="Normltblzat">
    <w:name w:val="Normal Table"/>
    <w:uiPriority w:val="99"/>
    <w:semiHidden/>
    <w:unhideWhenUsed/>
    <w:qFormat/>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paragraph" w:styleId="Listaszerbekezds">
    <w:name w:val="List Paragraph"/>
    <w:basedOn w:val="Norml"/>
    <w:uiPriority w:val="34"/>
    <w:qFormat/>
    <w:rsid w:val="006E6540"/>
    <w:pPr>
      <w:ind w:left="720"/>
      <w:contextualSpacing/>
    </w:pPr>
  </w:style>
  <w:style w:type="paragraph" w:styleId="Buborkszveg">
    <w:name w:val="Balloon Text"/>
    <w:basedOn w:val="Norml"/>
    <w:link w:val="BuborkszvegChar"/>
    <w:uiPriority w:val="99"/>
    <w:semiHidden/>
    <w:unhideWhenUsed/>
    <w:rsid w:val="0013764B"/>
    <w:pPr>
      <w:spacing w:after="0" w:line="240" w:lineRule="auto"/>
    </w:pPr>
    <w:rPr>
      <w:rFonts w:ascii="Tahoma" w:hAnsi="Tahoma" w:cs="Tahoma"/>
      <w:sz w:val="16"/>
      <w:szCs w:val="16"/>
    </w:rPr>
  </w:style>
  <w:style w:type="character" w:customStyle="1" w:styleId="BuborkszvegChar">
    <w:name w:val="Buborékszöveg Char"/>
    <w:basedOn w:val="Bekezdsalapbettpusa"/>
    <w:link w:val="Buborkszveg"/>
    <w:uiPriority w:val="99"/>
    <w:semiHidden/>
    <w:rsid w:val="0013764B"/>
    <w:rPr>
      <w:rFonts w:ascii="Tahoma" w:hAnsi="Tahoma" w:cs="Tahoma"/>
      <w:sz w:val="16"/>
      <w:szCs w:val="16"/>
    </w:rPr>
  </w:style>
  <w:style w:type="paragraph" w:styleId="Kpalrs">
    <w:name w:val="caption"/>
    <w:basedOn w:val="Norml"/>
    <w:next w:val="Norml"/>
    <w:uiPriority w:val="35"/>
    <w:unhideWhenUsed/>
    <w:qFormat/>
    <w:rsid w:val="00AE6B75"/>
    <w:pPr>
      <w:spacing w:line="240" w:lineRule="auto"/>
    </w:pPr>
    <w:rPr>
      <w:b/>
      <w:bCs/>
      <w:color w:val="4F81BD" w:themeColor="accent1"/>
      <w:sz w:val="18"/>
      <w:szCs w:val="18"/>
    </w:rPr>
  </w:style>
  <w:style w:type="paragraph" w:styleId="Lbjegyzetszveg">
    <w:name w:val="footnote text"/>
    <w:basedOn w:val="Norml"/>
    <w:link w:val="LbjegyzetszvegChar"/>
    <w:uiPriority w:val="99"/>
    <w:semiHidden/>
    <w:unhideWhenUsed/>
    <w:rsid w:val="0067287D"/>
    <w:pPr>
      <w:spacing w:after="0" w:line="240" w:lineRule="auto"/>
    </w:pPr>
    <w:rPr>
      <w:sz w:val="20"/>
      <w:szCs w:val="20"/>
    </w:rPr>
  </w:style>
  <w:style w:type="character" w:customStyle="1" w:styleId="LbjegyzetszvegChar">
    <w:name w:val="Lábjegyzetszöveg Char"/>
    <w:basedOn w:val="Bekezdsalapbettpusa"/>
    <w:link w:val="Lbjegyzetszveg"/>
    <w:uiPriority w:val="99"/>
    <w:semiHidden/>
    <w:rsid w:val="0067287D"/>
    <w:rPr>
      <w:sz w:val="20"/>
      <w:szCs w:val="20"/>
    </w:rPr>
  </w:style>
  <w:style w:type="character" w:styleId="Lbjegyzet-hivatkozs">
    <w:name w:val="footnote reference"/>
    <w:basedOn w:val="Bekezdsalapbettpusa"/>
    <w:uiPriority w:val="99"/>
    <w:semiHidden/>
    <w:unhideWhenUsed/>
    <w:rsid w:val="0067287D"/>
    <w:rPr>
      <w:vertAlign w:val="superscript"/>
    </w:rPr>
  </w:style>
  <w:style w:type="paragraph" w:styleId="lfej">
    <w:name w:val="header"/>
    <w:basedOn w:val="Norml"/>
    <w:link w:val="lfejChar"/>
    <w:uiPriority w:val="99"/>
    <w:semiHidden/>
    <w:unhideWhenUsed/>
    <w:rsid w:val="002F1F92"/>
    <w:pPr>
      <w:tabs>
        <w:tab w:val="center" w:pos="4536"/>
        <w:tab w:val="right" w:pos="9072"/>
      </w:tabs>
      <w:spacing w:after="0" w:line="240" w:lineRule="auto"/>
    </w:pPr>
  </w:style>
  <w:style w:type="character" w:customStyle="1" w:styleId="lfejChar">
    <w:name w:val="Élőfej Char"/>
    <w:basedOn w:val="Bekezdsalapbettpusa"/>
    <w:link w:val="lfej"/>
    <w:uiPriority w:val="99"/>
    <w:semiHidden/>
    <w:rsid w:val="002F1F92"/>
  </w:style>
  <w:style w:type="paragraph" w:styleId="llb">
    <w:name w:val="footer"/>
    <w:basedOn w:val="Norml"/>
    <w:link w:val="llbChar"/>
    <w:uiPriority w:val="99"/>
    <w:unhideWhenUsed/>
    <w:rsid w:val="002F1F92"/>
    <w:pPr>
      <w:tabs>
        <w:tab w:val="center" w:pos="4536"/>
        <w:tab w:val="right" w:pos="9072"/>
      </w:tabs>
      <w:spacing w:after="0" w:line="240" w:lineRule="auto"/>
    </w:pPr>
  </w:style>
  <w:style w:type="character" w:customStyle="1" w:styleId="llbChar">
    <w:name w:val="Élőláb Char"/>
    <w:basedOn w:val="Bekezdsalapbettpusa"/>
    <w:link w:val="llb"/>
    <w:uiPriority w:val="99"/>
    <w:rsid w:val="002F1F92"/>
  </w:style>
  <w:style w:type="character" w:styleId="Helyrzszveg">
    <w:name w:val="Placeholder Text"/>
    <w:basedOn w:val="Bekezdsalapbettpusa"/>
    <w:uiPriority w:val="99"/>
    <w:semiHidden/>
    <w:rsid w:val="00D815DB"/>
    <w:rPr>
      <w:color w:val="808080"/>
    </w:rPr>
  </w:style>
  <w:style w:type="table" w:styleId="Rcsostblzat">
    <w:name w:val="Table Grid"/>
    <w:basedOn w:val="Normltblzat"/>
    <w:uiPriority w:val="59"/>
    <w:rsid w:val="00F94AD6"/>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Cmlapszerz">
    <w:name w:val="Címlap szerző"/>
    <w:basedOn w:val="Norml"/>
    <w:autoRedefine/>
    <w:rsid w:val="00070A1E"/>
    <w:pPr>
      <w:keepNext/>
      <w:spacing w:after="240" w:line="240" w:lineRule="auto"/>
      <w:jc w:val="center"/>
    </w:pPr>
    <w:rPr>
      <w:rFonts w:ascii="Times New Roman" w:eastAsia="Times New Roman" w:hAnsi="Times New Roman" w:cs="Times New Roman"/>
      <w:noProof/>
      <w:sz w:val="40"/>
      <w:szCs w:val="24"/>
    </w:rPr>
  </w:style>
  <w:style w:type="paragraph" w:customStyle="1" w:styleId="Cmlaplog">
    <w:name w:val="Címlap logó"/>
    <w:basedOn w:val="Norml"/>
    <w:rsid w:val="00070A1E"/>
    <w:pPr>
      <w:spacing w:after="120" w:line="360" w:lineRule="auto"/>
      <w:jc w:val="center"/>
    </w:pPr>
    <w:rPr>
      <w:rFonts w:ascii="Times New Roman" w:eastAsia="Times New Roman" w:hAnsi="Times New Roman" w:cs="Times New Roman"/>
      <w:sz w:val="24"/>
      <w:szCs w:val="20"/>
    </w:rPr>
  </w:style>
  <w:style w:type="paragraph" w:customStyle="1" w:styleId="Cmlapkarstanszk">
    <w:name w:val="Címlap kar és tanszék"/>
    <w:basedOn w:val="Norml"/>
    <w:rsid w:val="00070A1E"/>
    <w:pPr>
      <w:spacing w:after="0" w:line="240" w:lineRule="auto"/>
      <w:jc w:val="center"/>
    </w:pPr>
    <w:rPr>
      <w:rFonts w:ascii="Times New Roman" w:eastAsia="Times New Roman" w:hAnsi="Times New Roman" w:cs="Times New Roman"/>
      <w:sz w:val="24"/>
      <w:szCs w:val="20"/>
    </w:rPr>
  </w:style>
  <w:style w:type="paragraph" w:customStyle="1" w:styleId="Cmlapegyetem">
    <w:name w:val="Címlap egyetem"/>
    <w:basedOn w:val="Norml"/>
    <w:rsid w:val="00070A1E"/>
    <w:pPr>
      <w:spacing w:before="120" w:after="0" w:line="240" w:lineRule="auto"/>
      <w:jc w:val="center"/>
    </w:pPr>
    <w:rPr>
      <w:rFonts w:ascii="Times New Roman" w:eastAsia="Times New Roman" w:hAnsi="Times New Roman" w:cs="Times New Roman"/>
      <w:b/>
      <w:bCs/>
      <w:sz w:val="24"/>
      <w:szCs w:val="20"/>
    </w:rPr>
  </w:style>
  <w:style w:type="character" w:styleId="Hiperhivatkozs">
    <w:name w:val="Hyperlink"/>
    <w:basedOn w:val="Bekezdsalapbettpusa"/>
    <w:uiPriority w:val="99"/>
    <w:semiHidden/>
    <w:unhideWhenUsed/>
    <w:rsid w:val="009823F8"/>
    <w:rPr>
      <w:color w:val="0000FF"/>
      <w:u w:val="single"/>
    </w:rPr>
  </w:style>
</w:styles>
</file>

<file path=word/webSettings.xml><?xml version="1.0" encoding="utf-8"?>
<w:webSettings xmlns:r="http://schemas.openxmlformats.org/officeDocument/2006/relationships" xmlns:w="http://schemas.openxmlformats.org/wordprocessingml/2006/main">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png"/><Relationship Id="rId18" Type="http://schemas.openxmlformats.org/officeDocument/2006/relationships/image" Target="media/image8.emf"/><Relationship Id="rId26" Type="http://schemas.openxmlformats.org/officeDocument/2006/relationships/image" Target="media/image12.emf"/><Relationship Id="rId39" Type="http://schemas.openxmlformats.org/officeDocument/2006/relationships/oleObject" Target="embeddings/oleObject11.bin"/><Relationship Id="rId3" Type="http://schemas.openxmlformats.org/officeDocument/2006/relationships/styles" Target="styles.xml"/><Relationship Id="rId21" Type="http://schemas.openxmlformats.org/officeDocument/2006/relationships/oleObject" Target="embeddings/oleObject2.bin"/><Relationship Id="rId34" Type="http://schemas.openxmlformats.org/officeDocument/2006/relationships/image" Target="media/image16.emf"/><Relationship Id="rId42" Type="http://schemas.openxmlformats.org/officeDocument/2006/relationships/hyperlink" Target="https://www.tankonyvtar.hu/hu/tartalom/tamop425/0033_SCORM_MFKHT6504SI/sco_00_01.htm" TargetMode="External"/><Relationship Id="rId7" Type="http://schemas.openxmlformats.org/officeDocument/2006/relationships/endnotes" Target="endnotes.xml"/><Relationship Id="rId12" Type="http://schemas.openxmlformats.org/officeDocument/2006/relationships/image" Target="media/image2.png"/><Relationship Id="rId17" Type="http://schemas.openxmlformats.org/officeDocument/2006/relationships/image" Target="media/image7.png"/><Relationship Id="rId25" Type="http://schemas.openxmlformats.org/officeDocument/2006/relationships/oleObject" Target="embeddings/oleObject4.bin"/><Relationship Id="rId33" Type="http://schemas.openxmlformats.org/officeDocument/2006/relationships/oleObject" Target="embeddings/oleObject8.bin"/><Relationship Id="rId38" Type="http://schemas.openxmlformats.org/officeDocument/2006/relationships/image" Target="media/image18.emf"/><Relationship Id="rId46"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9.emf"/><Relationship Id="rId29" Type="http://schemas.openxmlformats.org/officeDocument/2006/relationships/oleObject" Target="embeddings/oleObject6.bin"/><Relationship Id="rId41" Type="http://schemas.openxmlformats.org/officeDocument/2006/relationships/oleObject" Target="embeddings/oleObject12.bin"/><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chart" Target="charts/chart1.xml"/><Relationship Id="rId24" Type="http://schemas.openxmlformats.org/officeDocument/2006/relationships/image" Target="media/image11.emf"/><Relationship Id="rId32" Type="http://schemas.openxmlformats.org/officeDocument/2006/relationships/image" Target="media/image15.emf"/><Relationship Id="rId37" Type="http://schemas.openxmlformats.org/officeDocument/2006/relationships/oleObject" Target="embeddings/oleObject10.bin"/><Relationship Id="rId40" Type="http://schemas.openxmlformats.org/officeDocument/2006/relationships/image" Target="media/image19.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oleObject" Target="embeddings/oleObject3.bin"/><Relationship Id="rId28" Type="http://schemas.openxmlformats.org/officeDocument/2006/relationships/image" Target="media/image13.emf"/><Relationship Id="rId36" Type="http://schemas.openxmlformats.org/officeDocument/2006/relationships/image" Target="media/image17.emf"/><Relationship Id="rId10" Type="http://schemas.openxmlformats.org/officeDocument/2006/relationships/footer" Target="footer2.xml"/><Relationship Id="rId19" Type="http://schemas.openxmlformats.org/officeDocument/2006/relationships/oleObject" Target="embeddings/oleObject1.bin"/><Relationship Id="rId31" Type="http://schemas.openxmlformats.org/officeDocument/2006/relationships/oleObject" Target="embeddings/oleObject7.bin"/><Relationship Id="rId44" Type="http://schemas.openxmlformats.org/officeDocument/2006/relationships/oleObject" Target="embeddings/oleObject13.bin"/><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4.png"/><Relationship Id="rId22" Type="http://schemas.openxmlformats.org/officeDocument/2006/relationships/image" Target="media/image10.emf"/><Relationship Id="rId27" Type="http://schemas.openxmlformats.org/officeDocument/2006/relationships/oleObject" Target="embeddings/oleObject5.bin"/><Relationship Id="rId30" Type="http://schemas.openxmlformats.org/officeDocument/2006/relationships/image" Target="media/image14.emf"/><Relationship Id="rId35" Type="http://schemas.openxmlformats.org/officeDocument/2006/relationships/oleObject" Target="embeddings/oleObject9.bin"/><Relationship Id="rId43" Type="http://schemas.openxmlformats.org/officeDocument/2006/relationships/image" Target="media/image20.emf"/></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Office_Excel_munkalap1.xlsx"/></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hu-HU"/>
  <c:chart>
    <c:title>
      <c:tx>
        <c:rich>
          <a:bodyPr/>
          <a:lstStyle/>
          <a:p>
            <a:pPr>
              <a:defRPr/>
            </a:pPr>
            <a:r>
              <a:rPr lang="hu-HU"/>
              <a:t>A</a:t>
            </a:r>
            <a:r>
              <a:rPr lang="hu-HU" baseline="0"/>
              <a:t> talaj általános összetétele</a:t>
            </a:r>
            <a:endParaRPr lang="en-US"/>
          </a:p>
        </c:rich>
      </c:tx>
    </c:title>
    <c:plotArea>
      <c:layout/>
      <c:pieChart>
        <c:varyColors val="1"/>
        <c:ser>
          <c:idx val="0"/>
          <c:order val="0"/>
          <c:tx>
            <c:strRef>
              <c:f>Munka1!$B$1</c:f>
              <c:strCache>
                <c:ptCount val="1"/>
                <c:pt idx="0">
                  <c:v>Értékesítés</c:v>
                </c:pt>
              </c:strCache>
            </c:strRef>
          </c:tx>
          <c:dLbls>
            <c:dLbl>
              <c:idx val="0"/>
              <c:layout>
                <c:manualLayout>
                  <c:x val="-9.3398585593468017E-2"/>
                  <c:y val="0.12892607174103241"/>
                </c:manualLayout>
              </c:layout>
              <c:showVal val="1"/>
            </c:dLbl>
            <c:dLbl>
              <c:idx val="1"/>
              <c:layout>
                <c:manualLayout>
                  <c:x val="-9.3398585593468017E-2"/>
                  <c:y val="-0.14983814523184621"/>
                </c:manualLayout>
              </c:layout>
              <c:showVal val="1"/>
            </c:dLbl>
            <c:dLbl>
              <c:idx val="2"/>
              <c:layout>
                <c:manualLayout>
                  <c:x val="1.9280584718576948E-2"/>
                  <c:y val="-0.1359780027496563"/>
                </c:manualLayout>
              </c:layout>
              <c:showVal val="1"/>
            </c:dLbl>
            <c:dLbl>
              <c:idx val="3"/>
              <c:layout>
                <c:manualLayout>
                  <c:x val="0.13306503353747551"/>
                  <c:y val="3.5760217472816082E-2"/>
                </c:manualLayout>
              </c:layout>
              <c:showVal val="1"/>
            </c:dLbl>
            <c:showVal val="1"/>
            <c:showLeaderLines val="1"/>
          </c:dLbls>
          <c:cat>
            <c:strRef>
              <c:f>Munka1!$A$2:$A$5</c:f>
              <c:strCache>
                <c:ptCount val="4"/>
                <c:pt idx="0">
                  <c:v>Levegő</c:v>
                </c:pt>
                <c:pt idx="1">
                  <c:v>Víz</c:v>
                </c:pt>
                <c:pt idx="2">
                  <c:v>Szerves komponensek</c:v>
                </c:pt>
                <c:pt idx="3">
                  <c:v>Szervetlen komponensek</c:v>
                </c:pt>
              </c:strCache>
            </c:strRef>
          </c:cat>
          <c:val>
            <c:numRef>
              <c:f>Munka1!$B$2:$B$5</c:f>
              <c:numCache>
                <c:formatCode>0%</c:formatCode>
                <c:ptCount val="4"/>
                <c:pt idx="0">
                  <c:v>0.25</c:v>
                </c:pt>
                <c:pt idx="1">
                  <c:v>0.25</c:v>
                </c:pt>
                <c:pt idx="2">
                  <c:v>0.05</c:v>
                </c:pt>
                <c:pt idx="3">
                  <c:v>0.45</c:v>
                </c:pt>
              </c:numCache>
            </c:numRef>
          </c:val>
        </c:ser>
        <c:firstSliceAng val="0"/>
      </c:pieChart>
    </c:plotArea>
    <c:legend>
      <c:legendPos val="r"/>
    </c:legend>
    <c:plotVisOnly val="1"/>
  </c:chart>
  <c:externalData r:id="rId1"/>
</c:chartSpace>
</file>

<file path=word/theme/theme1.xml><?xml version="1.0" encoding="utf-8"?>
<a:theme xmlns:a="http://schemas.openxmlformats.org/drawingml/2006/main" name="Office-téma">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76BE72FC-7E9C-4812-B69F-A5D289E7BF0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15</Pages>
  <Words>11980</Words>
  <Characters>82665</Characters>
  <Application>Microsoft Office Word</Application>
  <DocSecurity>0</DocSecurity>
  <Lines>688</Lines>
  <Paragraphs>188</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94457</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Vancza Andor</dc:creator>
  <cp:lastModifiedBy>Vancza Andor</cp:lastModifiedBy>
  <cp:revision>2</cp:revision>
  <dcterms:created xsi:type="dcterms:W3CDTF">2019-11-10T19:17:00Z</dcterms:created>
  <dcterms:modified xsi:type="dcterms:W3CDTF">2019-11-10T19:17:00Z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endeley Recent Style Id 0_1">
    <vt:lpwstr>http://www.zotero.org/styles/american-medical-association</vt:lpwstr>
  </property>
  <property fmtid="{D5CDD505-2E9C-101B-9397-08002B2CF9AE}" pid="3" name="Mendeley Recent Style Name 0_1">
    <vt:lpwstr>American Medical Association</vt:lpwstr>
  </property>
  <property fmtid="{D5CDD505-2E9C-101B-9397-08002B2CF9AE}" pid="4" name="Mendeley Recent Style Id 1_1">
    <vt:lpwstr>http://www.zotero.org/styles/american-political-science-association</vt:lpwstr>
  </property>
  <property fmtid="{D5CDD505-2E9C-101B-9397-08002B2CF9AE}" pid="5" name="Mendeley Recent Style Name 1_1">
    <vt:lpwstr>American Political Science Association</vt:lpwstr>
  </property>
  <property fmtid="{D5CDD505-2E9C-101B-9397-08002B2CF9AE}" pid="6" name="Mendeley Recent Style Id 2_1">
    <vt:lpwstr>http://www.zotero.org/styles/american-sociological-association</vt:lpwstr>
  </property>
  <property fmtid="{D5CDD505-2E9C-101B-9397-08002B2CF9AE}" pid="7" name="Mendeley Recent Style Name 2_1">
    <vt:lpwstr>American Sociological Association</vt:lpwstr>
  </property>
  <property fmtid="{D5CDD505-2E9C-101B-9397-08002B2CF9AE}" pid="8" name="Mendeley Recent Style Id 3_1">
    <vt:lpwstr>http://www.zotero.org/styles/chicago-author-date</vt:lpwstr>
  </property>
  <property fmtid="{D5CDD505-2E9C-101B-9397-08002B2CF9AE}" pid="9" name="Mendeley Recent Style Name 3_1">
    <vt:lpwstr>Chicago Manual of Style 17th edition (author-date)</vt:lpwstr>
  </property>
  <property fmtid="{D5CDD505-2E9C-101B-9397-08002B2CF9AE}" pid="10" name="Mendeley Recent Style Id 4_1">
    <vt:lpwstr>http://www.zotero.org/styles/harvard-cite-them-right</vt:lpwstr>
  </property>
  <property fmtid="{D5CDD505-2E9C-101B-9397-08002B2CF9AE}" pid="11" name="Mendeley Recent Style Name 4_1">
    <vt:lpwstr>Cite Them Right 10th edition - Harvard</vt:lpwstr>
  </property>
  <property fmtid="{D5CDD505-2E9C-101B-9397-08002B2CF9AE}" pid="12" name="Mendeley Recent Style Id 5_1">
    <vt:lpwstr>http://www.zotero.org/styles/harvard1</vt:lpwstr>
  </property>
  <property fmtid="{D5CDD505-2E9C-101B-9397-08002B2CF9AE}" pid="13" name="Mendeley Recent Style Name 5_1">
    <vt:lpwstr>Harvard reference format 1 (deprecated)</vt:lpwstr>
  </property>
  <property fmtid="{D5CDD505-2E9C-101B-9397-08002B2CF9AE}" pid="14" name="Mendeley Recent Style Id 6_1">
    <vt:lpwstr>http://www.zotero.org/styles/ieee</vt:lpwstr>
  </property>
  <property fmtid="{D5CDD505-2E9C-101B-9397-08002B2CF9AE}" pid="15" name="Mendeley Recent Style Name 6_1">
    <vt:lpwstr>IEEE</vt:lpwstr>
  </property>
  <property fmtid="{D5CDD505-2E9C-101B-9397-08002B2CF9AE}" pid="16" name="Mendeley Recent Style Id 7_1">
    <vt:lpwstr>http://www.zotero.org/styles/modern-humanities-research-association</vt:lpwstr>
  </property>
  <property fmtid="{D5CDD505-2E9C-101B-9397-08002B2CF9AE}" pid="17" name="Mendeley Recent Style Name 7_1">
    <vt:lpwstr>Modern Humanities Research Association 3rd edition (note with bibliography)</vt:lpwstr>
  </property>
  <property fmtid="{D5CDD505-2E9C-101B-9397-08002B2CF9AE}" pid="18" name="Mendeley Recent Style Id 8_1">
    <vt:lpwstr>http://www.zotero.org/styles/modern-language-association</vt:lpwstr>
  </property>
  <property fmtid="{D5CDD505-2E9C-101B-9397-08002B2CF9AE}" pid="19" name="Mendeley Recent Style Name 8_1">
    <vt:lpwstr>Modern Language Association 8th edition</vt:lpwstr>
  </property>
  <property fmtid="{D5CDD505-2E9C-101B-9397-08002B2CF9AE}" pid="20" name="Mendeley Recent Style Id 9_1">
    <vt:lpwstr>http://www.zotero.org/styles/nature</vt:lpwstr>
  </property>
  <property fmtid="{D5CDD505-2E9C-101B-9397-08002B2CF9AE}" pid="21" name="Mendeley Recent Style Name 9_1">
    <vt:lpwstr>Nature</vt:lpwstr>
  </property>
  <property fmtid="{D5CDD505-2E9C-101B-9397-08002B2CF9AE}" pid="22" name="Mendeley Document_1">
    <vt:lpwstr>True</vt:lpwstr>
  </property>
  <property fmtid="{D5CDD505-2E9C-101B-9397-08002B2CF9AE}" pid="23" name="Mendeley Unique User Id_1">
    <vt:lpwstr>11480625-b42b-3257-9423-639857e8923b</vt:lpwstr>
  </property>
  <property fmtid="{D5CDD505-2E9C-101B-9397-08002B2CF9AE}" pid="24" name="Mendeley Citation Style_1">
    <vt:lpwstr>http://www.zotero.org/styles/ieee</vt:lpwstr>
  </property>
</Properties>
</file>